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02" w:rsidRDefault="00F54D02" w:rsidP="00F54D02">
      <w:pPr>
        <w:spacing w:after="0"/>
      </w:pPr>
      <w:r>
        <w:t xml:space="preserve">PRIRODOSLOVNO-GRAFIČKA ŠKOLA </w:t>
      </w:r>
    </w:p>
    <w:p w:rsidR="00F54D02" w:rsidRDefault="00F54D02" w:rsidP="00F54D02">
      <w:pPr>
        <w:spacing w:after="0"/>
      </w:pPr>
      <w:r>
        <w:t xml:space="preserve">                           ZADAR</w:t>
      </w:r>
    </w:p>
    <w:p w:rsidR="00F54D02" w:rsidRDefault="00F54D02" w:rsidP="00F54D02">
      <w:pPr>
        <w:spacing w:after="0"/>
      </w:pPr>
      <w:r>
        <w:t xml:space="preserve">               Park Vladimira Nazora 3</w:t>
      </w:r>
    </w:p>
    <w:p w:rsidR="00DC3F30" w:rsidRDefault="00DC3F30" w:rsidP="00F54D02">
      <w:pPr>
        <w:spacing w:after="0"/>
      </w:pPr>
    </w:p>
    <w:p w:rsidR="00DC3F30" w:rsidRDefault="00DC3F30" w:rsidP="00F54D02">
      <w:pPr>
        <w:spacing w:after="0"/>
      </w:pPr>
      <w:r>
        <w:t>Klasa:</w:t>
      </w:r>
      <w:r w:rsidR="003A488C">
        <w:t xml:space="preserve"> </w:t>
      </w:r>
      <w:r w:rsidR="00010C9D">
        <w:t>400-02/21-01/3</w:t>
      </w:r>
    </w:p>
    <w:p w:rsidR="00DC3F30" w:rsidRDefault="00DC3F30" w:rsidP="00F54D02">
      <w:pPr>
        <w:spacing w:after="0"/>
      </w:pPr>
      <w:proofErr w:type="spellStart"/>
      <w:r>
        <w:t>Ur</w:t>
      </w:r>
      <w:proofErr w:type="spellEnd"/>
      <w:r>
        <w:t>. broj:</w:t>
      </w:r>
      <w:r w:rsidR="003A488C">
        <w:t xml:space="preserve"> </w:t>
      </w:r>
      <w:r w:rsidR="00010C9D">
        <w:t>2198-01-63-21-01</w:t>
      </w:r>
    </w:p>
    <w:p w:rsidR="00E45ED2" w:rsidRDefault="00CC44DA" w:rsidP="00F54D02">
      <w:pPr>
        <w:spacing w:after="0"/>
      </w:pPr>
      <w:r>
        <w:t>Zadar:  20</w:t>
      </w:r>
      <w:r w:rsidR="003A488C">
        <w:t>.09</w:t>
      </w:r>
      <w:r w:rsidR="00660BCD">
        <w:t>.2021</w:t>
      </w:r>
      <w:r w:rsidR="006D5F23">
        <w:t>. godine</w:t>
      </w:r>
    </w:p>
    <w:p w:rsidR="00E45ED2" w:rsidRDefault="00E45ED2" w:rsidP="00F54D02">
      <w:pPr>
        <w:spacing w:after="0"/>
      </w:pPr>
    </w:p>
    <w:p w:rsidR="00FA4DED" w:rsidRDefault="00FA4DED" w:rsidP="00F54D02">
      <w:pPr>
        <w:spacing w:after="0"/>
      </w:pPr>
    </w:p>
    <w:p w:rsidR="00FA4DED" w:rsidRDefault="00FA4DED" w:rsidP="00F54D02">
      <w:pPr>
        <w:spacing w:after="0"/>
      </w:pPr>
    </w:p>
    <w:p w:rsidR="00FA4DED" w:rsidRDefault="00FA4DED" w:rsidP="00F54D02">
      <w:pPr>
        <w:spacing w:after="0"/>
      </w:pPr>
    </w:p>
    <w:p w:rsidR="00F54D02" w:rsidRDefault="00F54D02" w:rsidP="00F54D02">
      <w:pPr>
        <w:spacing w:after="0"/>
        <w:jc w:val="center"/>
        <w:rPr>
          <w:b/>
        </w:rPr>
      </w:pPr>
      <w:r>
        <w:rPr>
          <w:b/>
        </w:rPr>
        <w:t xml:space="preserve">OBRAZLOŽENJE </w:t>
      </w:r>
    </w:p>
    <w:p w:rsidR="00F54D02" w:rsidRDefault="00F54D02" w:rsidP="00F54D02">
      <w:pPr>
        <w:spacing w:after="0"/>
        <w:jc w:val="center"/>
        <w:rPr>
          <w:b/>
        </w:rPr>
      </w:pPr>
      <w:r>
        <w:rPr>
          <w:b/>
        </w:rPr>
        <w:t xml:space="preserve">Prijedloga izmjena i dopuna financijskog plana </w:t>
      </w:r>
      <w:r w:rsidR="003A488C">
        <w:rPr>
          <w:b/>
        </w:rPr>
        <w:t>br. 1</w:t>
      </w:r>
    </w:p>
    <w:p w:rsidR="00F54D02" w:rsidRDefault="006864F6" w:rsidP="00F54D02">
      <w:pPr>
        <w:spacing w:after="0"/>
        <w:jc w:val="center"/>
        <w:rPr>
          <w:b/>
        </w:rPr>
      </w:pPr>
      <w:r>
        <w:rPr>
          <w:b/>
        </w:rPr>
        <w:t xml:space="preserve">za </w:t>
      </w:r>
      <w:r w:rsidR="003A488C">
        <w:rPr>
          <w:b/>
        </w:rPr>
        <w:t>2021</w:t>
      </w:r>
      <w:r w:rsidR="00F54D02">
        <w:rPr>
          <w:b/>
        </w:rPr>
        <w:t>. godinu</w:t>
      </w:r>
    </w:p>
    <w:p w:rsidR="005772D8" w:rsidRDefault="005772D8" w:rsidP="009F3AC1">
      <w:pPr>
        <w:spacing w:after="0"/>
      </w:pPr>
    </w:p>
    <w:p w:rsidR="00FA4DED" w:rsidRDefault="00FA4DED" w:rsidP="009F3AC1">
      <w:pPr>
        <w:spacing w:after="0"/>
      </w:pPr>
    </w:p>
    <w:p w:rsidR="00FA4DED" w:rsidRDefault="00FA4DED" w:rsidP="009F3AC1">
      <w:pPr>
        <w:spacing w:after="0"/>
      </w:pPr>
    </w:p>
    <w:p w:rsidR="00F54D02" w:rsidRDefault="00F54D02" w:rsidP="00F54D02">
      <w:pPr>
        <w:pStyle w:val="Odlomakpopisa"/>
        <w:numPr>
          <w:ilvl w:val="0"/>
          <w:numId w:val="1"/>
        </w:numPr>
        <w:spacing w:after="0"/>
        <w:jc w:val="both"/>
        <w:rPr>
          <w:b/>
          <w:i/>
        </w:rPr>
      </w:pPr>
      <w:r>
        <w:rPr>
          <w:b/>
          <w:i/>
        </w:rPr>
        <w:t>Izvor financiranja 45</w:t>
      </w:r>
    </w:p>
    <w:p w:rsidR="00C22D90" w:rsidRDefault="00C22D90" w:rsidP="00F54D02">
      <w:pPr>
        <w:spacing w:after="0"/>
        <w:jc w:val="both"/>
      </w:pPr>
    </w:p>
    <w:p w:rsidR="009409B9" w:rsidRDefault="00660BCD" w:rsidP="00F54D02">
      <w:pPr>
        <w:spacing w:after="0"/>
        <w:jc w:val="both"/>
      </w:pPr>
      <w:r>
        <w:t>Prema P</w:t>
      </w:r>
      <w:r w:rsidR="005223E3">
        <w:t>rijedlog</w:t>
      </w:r>
      <w:r>
        <w:t>u</w:t>
      </w:r>
      <w:r w:rsidR="005223E3">
        <w:t xml:space="preserve"> izmjena i dopuna financijs</w:t>
      </w:r>
      <w:r w:rsidR="003A488C">
        <w:t>kog plana br. 1 za 2021. godinu na izvoru 45 Prirodoslovno-grafičkoj školi Zadar određen je limit od 631.438,42 kn.</w:t>
      </w:r>
    </w:p>
    <w:p w:rsidR="003A488C" w:rsidRPr="00660BCD" w:rsidRDefault="00855F38" w:rsidP="00F54D02">
      <w:pPr>
        <w:spacing w:after="0"/>
        <w:jc w:val="both"/>
        <w:rPr>
          <w:i/>
        </w:rPr>
      </w:pPr>
      <w:r>
        <w:t>Budući da su na pozicija</w:t>
      </w:r>
      <w:r w:rsidR="009A7E60">
        <w:t>ma</w:t>
      </w:r>
      <w:r w:rsidR="003A488C">
        <w:t xml:space="preserve"> prijevoza zaposlenika</w:t>
      </w:r>
      <w:r w:rsidR="009A7E60">
        <w:t xml:space="preserve"> te energije</w:t>
      </w:r>
      <w:r w:rsidR="003A488C">
        <w:t xml:space="preserve"> nastale ušt</w:t>
      </w:r>
      <w:r w:rsidR="00FA4DED">
        <w:t>ede, sa istog se preraspodjeljuje iznos od 20.000,00</w:t>
      </w:r>
      <w:r w:rsidR="009A7E60">
        <w:t xml:space="preserve"> kn </w:t>
      </w:r>
      <w:r w:rsidR="003A488C">
        <w:t>u svrhu nabave računalne</w:t>
      </w:r>
      <w:r w:rsidR="009A7E60">
        <w:t xml:space="preserve"> </w:t>
      </w:r>
      <w:r w:rsidR="00FA4DED">
        <w:t>i ostale opreme.</w:t>
      </w:r>
    </w:p>
    <w:p w:rsidR="00F56940" w:rsidRDefault="00F56940" w:rsidP="00F54D02">
      <w:pPr>
        <w:spacing w:after="0"/>
        <w:jc w:val="both"/>
      </w:pPr>
      <w:r>
        <w:t>Na izvoru 45 izvršena je preraspodjela sredstava prema sljedećem:</w:t>
      </w:r>
    </w:p>
    <w:p w:rsidR="00DC3F30" w:rsidRDefault="003A488C" w:rsidP="00F54D02">
      <w:pPr>
        <w:spacing w:after="0"/>
        <w:jc w:val="both"/>
      </w:pPr>
      <w:r>
        <w:t xml:space="preserve"> </w:t>
      </w:r>
    </w:p>
    <w:p w:rsidR="001D3C21" w:rsidRDefault="00B404F6" w:rsidP="00F54D02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Smanjen</w:t>
      </w:r>
      <w:r w:rsidR="00FB7A8D">
        <w:rPr>
          <w:i/>
          <w:u w:val="single"/>
        </w:rPr>
        <w:t>je</w:t>
      </w:r>
      <w:r w:rsidR="00835CAA">
        <w:rPr>
          <w:i/>
          <w:u w:val="single"/>
        </w:rPr>
        <w:t>m</w:t>
      </w:r>
      <w:r w:rsidR="001D3C21">
        <w:rPr>
          <w:i/>
          <w:u w:val="single"/>
        </w:rPr>
        <w:t xml:space="preserve"> pozicija:</w:t>
      </w:r>
    </w:p>
    <w:p w:rsidR="001D3C21" w:rsidRPr="001D3C21" w:rsidRDefault="001D3C21" w:rsidP="00F54D02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u kn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291"/>
        <w:gridCol w:w="2928"/>
        <w:gridCol w:w="1418"/>
        <w:gridCol w:w="1835"/>
        <w:gridCol w:w="1816"/>
      </w:tblGrid>
      <w:tr w:rsidR="00B404F6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Pr="00B404F6" w:rsidRDefault="00B404F6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Konto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Pr="00B404F6" w:rsidRDefault="00B404F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Naziv pozicije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Pr="00B404F6" w:rsidRDefault="00B404F6" w:rsidP="00B404F6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Plan</w:t>
            </w:r>
            <w:r w:rsidR="000B385D">
              <w:rPr>
                <w:b/>
                <w:i/>
              </w:rPr>
              <w:t xml:space="preserve"> prije rebalansa</w:t>
            </w:r>
            <w:r w:rsidR="00F56940">
              <w:rPr>
                <w:b/>
                <w:i/>
              </w:rPr>
              <w:t xml:space="preserve">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B404F6" w:rsidP="00B404F6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Rebalans</w:t>
            </w:r>
            <w:r w:rsidR="00F56940">
              <w:rPr>
                <w:b/>
                <w:i/>
              </w:rPr>
              <w:t xml:space="preserve"> 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B404F6" w:rsidP="00B404F6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Smanjenje</w:t>
            </w:r>
          </w:p>
        </w:tc>
      </w:tr>
      <w:tr w:rsidR="00B404F6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Default="00B404F6" w:rsidP="0001480E">
            <w:pPr>
              <w:jc w:val="center"/>
              <w:rPr>
                <w:i/>
              </w:rPr>
            </w:pPr>
            <w:r>
              <w:rPr>
                <w:i/>
              </w:rPr>
              <w:t>konto 32111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Pr="00B404F6" w:rsidRDefault="00B404F6" w:rsidP="0001480E">
            <w:pPr>
              <w:rPr>
                <w:i/>
                <w:sz w:val="22"/>
              </w:rPr>
            </w:pPr>
            <w:r w:rsidRPr="00B404F6">
              <w:rPr>
                <w:i/>
                <w:sz w:val="22"/>
              </w:rPr>
              <w:t>Službena putovanja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F56940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35.366,13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3C0494" w:rsidP="00B404F6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  <w:r w:rsidR="00F56940">
              <w:rPr>
                <w:i/>
                <w:sz w:val="22"/>
              </w:rPr>
              <w:t>.088,42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3C0494" w:rsidP="00B404F6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11.277,71</w:t>
            </w:r>
          </w:p>
        </w:tc>
      </w:tr>
      <w:tr w:rsidR="003C049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94" w:rsidRDefault="003C0494" w:rsidP="0001480E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3C0494" w:rsidRDefault="003C0494" w:rsidP="0001480E">
            <w:pPr>
              <w:jc w:val="center"/>
              <w:rPr>
                <w:i/>
              </w:rPr>
            </w:pPr>
            <w:r>
              <w:rPr>
                <w:i/>
              </w:rPr>
              <w:t xml:space="preserve">32121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94" w:rsidRPr="00B404F6" w:rsidRDefault="003C0494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Naknade za prijevoz zaposlenika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94" w:rsidRDefault="003C0494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116,000,00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94" w:rsidRDefault="003C0494" w:rsidP="00B404F6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96.000,00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94" w:rsidRDefault="003C0494" w:rsidP="00B404F6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20.000,00</w:t>
            </w:r>
          </w:p>
        </w:tc>
      </w:tr>
      <w:tr w:rsid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Default="00605A84">
            <w:pPr>
              <w:jc w:val="center"/>
              <w:rPr>
                <w:i/>
              </w:rPr>
            </w:pPr>
            <w:r>
              <w:rPr>
                <w:i/>
              </w:rPr>
              <w:t>konto 32</w:t>
            </w:r>
            <w:r w:rsidR="00B55458">
              <w:rPr>
                <w:i/>
              </w:rPr>
              <w:t>251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Pr="00B404F6" w:rsidRDefault="00B55458" w:rsidP="005A5FF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Sitni inventar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84" w:rsidRDefault="00E87347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84" w:rsidRDefault="00E87347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A84" w:rsidRDefault="00E87347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2.000,00</w:t>
            </w:r>
          </w:p>
        </w:tc>
      </w:tr>
      <w:tr w:rsidR="00364622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22" w:rsidRDefault="00364622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364622" w:rsidRDefault="00364622">
            <w:pPr>
              <w:jc w:val="center"/>
              <w:rPr>
                <w:i/>
              </w:rPr>
            </w:pPr>
            <w:r>
              <w:rPr>
                <w:i/>
              </w:rPr>
              <w:t>32311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22" w:rsidRDefault="00364622" w:rsidP="005A5FF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Usluge telefona, pošte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622" w:rsidRDefault="00364622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622" w:rsidRDefault="00364622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622" w:rsidRDefault="00364622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</w:tr>
      <w:tr w:rsidR="00C60146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C60146" w:rsidRDefault="00C60146" w:rsidP="00C60146">
            <w:pPr>
              <w:jc w:val="center"/>
              <w:rPr>
                <w:i/>
              </w:rPr>
            </w:pPr>
            <w:r>
              <w:rPr>
                <w:i/>
              </w:rPr>
              <w:t>32359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5A5FF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Najamnine i zakupnine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47.000,00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12.000,00</w:t>
            </w:r>
          </w:p>
        </w:tc>
      </w:tr>
      <w:tr w:rsidR="000E4863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63" w:rsidRDefault="000E4863" w:rsidP="00C60146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0E4863" w:rsidRDefault="000E4863" w:rsidP="00C60146">
            <w:pPr>
              <w:jc w:val="center"/>
              <w:rPr>
                <w:i/>
              </w:rPr>
            </w:pPr>
            <w:r>
              <w:rPr>
                <w:i/>
              </w:rPr>
              <w:t>32379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63" w:rsidRDefault="000E4863" w:rsidP="005A5FF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Intelektualne usluge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63" w:rsidRDefault="000E4863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63" w:rsidRDefault="000E4863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63" w:rsidRDefault="000E4863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2.000,00</w:t>
            </w:r>
          </w:p>
        </w:tc>
      </w:tr>
      <w:tr w:rsidR="004702DB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C60146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4702DB" w:rsidRDefault="004702DB" w:rsidP="00C60146">
            <w:pPr>
              <w:jc w:val="center"/>
              <w:rPr>
                <w:i/>
              </w:rPr>
            </w:pPr>
            <w:r>
              <w:rPr>
                <w:i/>
              </w:rPr>
              <w:t>32931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5A5FF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Reprezentacija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</w:tr>
      <w:tr w:rsidR="00B404F6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Default="00B404F6">
            <w:pPr>
              <w:jc w:val="center"/>
              <w:rPr>
                <w:i/>
              </w:rPr>
            </w:pPr>
            <w:r>
              <w:rPr>
                <w:i/>
              </w:rPr>
              <w:t xml:space="preserve">konto </w:t>
            </w:r>
            <w:r w:rsidR="00B55458">
              <w:rPr>
                <w:i/>
              </w:rPr>
              <w:t>32999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F6" w:rsidRPr="00B404F6" w:rsidRDefault="00B5545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Ostali nespomenuti rashod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4702DB" w:rsidP="00B404F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4702DB" w:rsidP="00605A8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F6" w:rsidRPr="00B404F6" w:rsidRDefault="004702DB" w:rsidP="00605A8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</w:tr>
    </w:tbl>
    <w:p w:rsidR="00010C9D" w:rsidRDefault="001D3C21" w:rsidP="00F54D02">
      <w:pPr>
        <w:spacing w:after="0"/>
        <w:jc w:val="both"/>
      </w:pPr>
      <w:r>
        <w:tab/>
      </w:r>
    </w:p>
    <w:p w:rsidR="005772D8" w:rsidRPr="00010C9D" w:rsidRDefault="001D3C21" w:rsidP="00F54D02">
      <w:pPr>
        <w:spacing w:after="0"/>
        <w:jc w:val="both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D02" w:rsidRDefault="00FB7A8D" w:rsidP="00F54D02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Povećanje</w:t>
      </w:r>
      <w:r w:rsidR="00835CAA">
        <w:rPr>
          <w:i/>
          <w:u w:val="single"/>
        </w:rPr>
        <w:t>m</w:t>
      </w:r>
      <w:r w:rsidR="00B404F6">
        <w:rPr>
          <w:i/>
          <w:u w:val="single"/>
        </w:rPr>
        <w:t xml:space="preserve"> pozicija:</w:t>
      </w:r>
    </w:p>
    <w:p w:rsidR="001D3C21" w:rsidRPr="001D3C21" w:rsidRDefault="001D3C21" w:rsidP="00F54D02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u kn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291"/>
        <w:gridCol w:w="2928"/>
        <w:gridCol w:w="1418"/>
        <w:gridCol w:w="1835"/>
        <w:gridCol w:w="1816"/>
      </w:tblGrid>
      <w:tr w:rsid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Pr="00B404F6" w:rsidRDefault="00605A84" w:rsidP="000148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Konto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Pr="00B404F6" w:rsidRDefault="00605A84" w:rsidP="0001480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Naziv pozicije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Pr="00B404F6" w:rsidRDefault="00605A84" w:rsidP="0001480E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Plan</w:t>
            </w:r>
            <w:r w:rsidR="003C0494">
              <w:rPr>
                <w:b/>
                <w:i/>
              </w:rPr>
              <w:t xml:space="preserve"> prije rebalansa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A84" w:rsidRPr="00B404F6" w:rsidRDefault="00605A84" w:rsidP="0001480E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Rebalans</w:t>
            </w:r>
            <w:r w:rsidR="003C0494">
              <w:rPr>
                <w:b/>
                <w:i/>
              </w:rPr>
              <w:t xml:space="preserve"> 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A84" w:rsidRPr="00B404F6" w:rsidRDefault="0032587A" w:rsidP="000148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Povećanje</w:t>
            </w:r>
          </w:p>
        </w:tc>
      </w:tr>
      <w:tr w:rsidR="00605A84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Default="00605A84" w:rsidP="0001480E">
            <w:pPr>
              <w:jc w:val="center"/>
              <w:rPr>
                <w:i/>
                <w:sz w:val="22"/>
              </w:rPr>
            </w:pPr>
            <w:r w:rsidRPr="00605A84">
              <w:rPr>
                <w:i/>
                <w:sz w:val="22"/>
              </w:rPr>
              <w:t xml:space="preserve">konto </w:t>
            </w:r>
          </w:p>
          <w:p w:rsidR="00605A84" w:rsidRPr="00605A84" w:rsidRDefault="00605A84" w:rsidP="0001480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322</w:t>
            </w:r>
            <w:r w:rsidR="00737B77">
              <w:rPr>
                <w:i/>
                <w:sz w:val="22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4" w:rsidRPr="00605A84" w:rsidRDefault="00737B77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Uredski materijal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84" w:rsidRPr="00605A84" w:rsidRDefault="003C0494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84" w:rsidRPr="00605A84" w:rsidRDefault="003C0494" w:rsidP="0001480E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75.000,00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84" w:rsidRPr="00605A84" w:rsidRDefault="003C0494" w:rsidP="00737B77">
            <w:pPr>
              <w:ind w:left="72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5.000,00</w:t>
            </w:r>
          </w:p>
        </w:tc>
      </w:tr>
      <w:tr w:rsidR="00D740C8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8" w:rsidRDefault="00D740C8" w:rsidP="0001480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konto</w:t>
            </w:r>
          </w:p>
          <w:p w:rsidR="00D740C8" w:rsidRPr="00605A84" w:rsidRDefault="00D740C8" w:rsidP="0001480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32233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8" w:rsidRDefault="00D740C8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8" w:rsidRDefault="00D740C8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8" w:rsidRDefault="00D740C8" w:rsidP="0001480E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1.600,00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C8" w:rsidRDefault="00D740C8" w:rsidP="00737B77">
            <w:pPr>
              <w:ind w:left="72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1.600,00</w:t>
            </w:r>
          </w:p>
        </w:tc>
      </w:tr>
      <w:tr w:rsidR="00E87347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47" w:rsidRDefault="00E87347" w:rsidP="0001480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konto</w:t>
            </w:r>
          </w:p>
          <w:p w:rsidR="00E87347" w:rsidRPr="00605A84" w:rsidRDefault="00E87347" w:rsidP="0001480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32271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47" w:rsidRDefault="00E87347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Službena, radna i zaštitna odjeća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47" w:rsidRDefault="00E87347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47" w:rsidRDefault="00E87347" w:rsidP="0001480E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47" w:rsidRDefault="00E87347" w:rsidP="00737B77">
            <w:pPr>
              <w:ind w:left="72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500,00</w:t>
            </w:r>
          </w:p>
        </w:tc>
      </w:tr>
      <w:tr w:rsidR="00C60146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C60146" w:rsidRDefault="00C60146" w:rsidP="00C60146">
            <w:pPr>
              <w:jc w:val="center"/>
              <w:rPr>
                <w:i/>
              </w:rPr>
            </w:pPr>
            <w:r>
              <w:rPr>
                <w:i/>
              </w:rPr>
              <w:t>32321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Usluge tekućeg i investicijskog održavanja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</w:tr>
      <w:tr w:rsidR="00C60146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46" w:rsidRDefault="00C60146" w:rsidP="00C601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konto</w:t>
            </w:r>
          </w:p>
          <w:p w:rsidR="00C60146" w:rsidRDefault="00C60146" w:rsidP="00C601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32341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46" w:rsidRDefault="00C60146" w:rsidP="00C6014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Komunalne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C60146" w:rsidP="00C60146">
            <w:pPr>
              <w:ind w:left="72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7.000,00</w:t>
            </w:r>
          </w:p>
        </w:tc>
      </w:tr>
      <w:tr w:rsidR="00C60146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46" w:rsidRDefault="00C60146" w:rsidP="00C601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konto</w:t>
            </w:r>
          </w:p>
          <w:p w:rsidR="00C60146" w:rsidRDefault="000E4863" w:rsidP="00C601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32381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46" w:rsidRDefault="000E4863" w:rsidP="00C6014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Računalne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0E4863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0E4863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46" w:rsidRDefault="000E4863" w:rsidP="00C60146">
            <w:pPr>
              <w:ind w:left="72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</w:tr>
      <w:tr w:rsidR="004702DB" w:rsidRPr="00605A84" w:rsidTr="00C60146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C601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konto</w:t>
            </w:r>
          </w:p>
          <w:p w:rsidR="004702DB" w:rsidRDefault="004702DB" w:rsidP="00C6014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32399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C6014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Ostale nespomenute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C6014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DB" w:rsidRDefault="004702DB" w:rsidP="00C60146">
            <w:pPr>
              <w:ind w:left="72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3.000,00</w:t>
            </w:r>
          </w:p>
        </w:tc>
      </w:tr>
    </w:tbl>
    <w:p w:rsidR="00E57268" w:rsidRPr="00E57268" w:rsidRDefault="00E57268" w:rsidP="00F54D02">
      <w:pPr>
        <w:spacing w:after="0"/>
        <w:jc w:val="both"/>
      </w:pPr>
    </w:p>
    <w:p w:rsidR="00F151FA" w:rsidRDefault="00F151FA" w:rsidP="00F54D02">
      <w:pPr>
        <w:spacing w:after="0"/>
        <w:jc w:val="both"/>
      </w:pPr>
      <w:r>
        <w:t>Zbog situacije s COVID-om s</w:t>
      </w:r>
      <w:r w:rsidR="00942B9B">
        <w:t>redstva namijenjena službenim</w:t>
      </w:r>
      <w:r>
        <w:t xml:space="preserve"> putova</w:t>
      </w:r>
      <w:r w:rsidR="00942B9B">
        <w:t>njima</w:t>
      </w:r>
      <w:r>
        <w:t xml:space="preserve"> koriste se znat</w:t>
      </w:r>
      <w:r w:rsidR="00942B9B">
        <w:t>no manje od planiranih, ali se u rebalansu br. 1 ostavlja</w:t>
      </w:r>
      <w:r>
        <w:t xml:space="preserve"> </w:t>
      </w:r>
      <w:r w:rsidR="00942B9B">
        <w:t>određeni iznos koji bi trebao biti dostatan do kraja godine ukoliko se poboljša situac</w:t>
      </w:r>
      <w:r w:rsidR="00D60969">
        <w:t>ija i zaposlenici budu više odlazili</w:t>
      </w:r>
      <w:r w:rsidR="00942B9B">
        <w:t xml:space="preserve"> na službena putovanja.</w:t>
      </w:r>
    </w:p>
    <w:p w:rsidR="00F54D02" w:rsidRDefault="00290FD2" w:rsidP="00F54D02">
      <w:pPr>
        <w:spacing w:after="0"/>
        <w:jc w:val="both"/>
      </w:pPr>
      <w:r>
        <w:t>Iznos na komunalnim us</w:t>
      </w:r>
      <w:r w:rsidR="00034639">
        <w:t>lugama povećao se</w:t>
      </w:r>
      <w:r>
        <w:t xml:space="preserve"> zbog novog ugovora o </w:t>
      </w:r>
      <w:r w:rsidR="008A112F">
        <w:t>održavanju zelenih površina</w:t>
      </w:r>
      <w:r w:rsidR="00034639">
        <w:t xml:space="preserve"> sa Nasadima.</w:t>
      </w:r>
      <w:r w:rsidR="008D7C77">
        <w:t xml:space="preserve"> </w:t>
      </w:r>
    </w:p>
    <w:p w:rsidR="008D7C77" w:rsidRDefault="008D7C77" w:rsidP="00F54D02">
      <w:pPr>
        <w:spacing w:after="0"/>
        <w:jc w:val="both"/>
      </w:pPr>
      <w:r>
        <w:t>Konto</w:t>
      </w:r>
      <w:r w:rsidR="00EB192E">
        <w:t xml:space="preserve"> usluge tekućeg i investicijskog</w:t>
      </w:r>
      <w:r>
        <w:t xml:space="preserve"> održavanja povećava se</w:t>
      </w:r>
      <w:r w:rsidR="00F151FA">
        <w:t xml:space="preserve"> radi potreba održavanja opreme škole.</w:t>
      </w:r>
    </w:p>
    <w:p w:rsidR="000733CD" w:rsidRDefault="000733CD" w:rsidP="00F54D02">
      <w:pPr>
        <w:spacing w:after="0"/>
        <w:jc w:val="both"/>
      </w:pPr>
      <w:r>
        <w:t>Na kontu najamnine i zakupnine i</w:t>
      </w:r>
      <w:r w:rsidR="00B16EC1">
        <w:t>znos se smanjuje zbog toga što učenici nisu imali tj</w:t>
      </w:r>
      <w:r w:rsidR="008375E6">
        <w:t>elesni odgoj u dvorani za koju j</w:t>
      </w:r>
      <w:r w:rsidR="00B16EC1">
        <w:t>e</w:t>
      </w:r>
      <w:r w:rsidR="008375E6">
        <w:t xml:space="preserve"> planirano</w:t>
      </w:r>
      <w:r w:rsidR="00B16EC1">
        <w:t xml:space="preserve"> plaća</w:t>
      </w:r>
      <w:r w:rsidR="008375E6">
        <w:t>nje najma</w:t>
      </w:r>
      <w:r w:rsidR="00B16EC1">
        <w:t>.</w:t>
      </w:r>
    </w:p>
    <w:p w:rsidR="009E5601" w:rsidRDefault="009E5601" w:rsidP="00F54D02">
      <w:pPr>
        <w:spacing w:after="0"/>
        <w:jc w:val="both"/>
      </w:pPr>
    </w:p>
    <w:p w:rsidR="00F54D02" w:rsidRDefault="00F54D02" w:rsidP="00F54D02">
      <w:pPr>
        <w:pStyle w:val="Odlomakpopisa"/>
        <w:numPr>
          <w:ilvl w:val="0"/>
          <w:numId w:val="1"/>
        </w:numPr>
        <w:spacing w:after="0"/>
        <w:jc w:val="both"/>
        <w:rPr>
          <w:b/>
          <w:i/>
        </w:rPr>
      </w:pPr>
      <w:r>
        <w:rPr>
          <w:b/>
          <w:i/>
        </w:rPr>
        <w:t>Izvor financiranja 31</w:t>
      </w:r>
    </w:p>
    <w:p w:rsidR="00F54D02" w:rsidRDefault="00F54D02" w:rsidP="00F54D02">
      <w:pPr>
        <w:spacing w:after="0"/>
        <w:jc w:val="both"/>
      </w:pPr>
    </w:p>
    <w:p w:rsidR="00085AE1" w:rsidRDefault="009E35C6" w:rsidP="00F54D02">
      <w:pPr>
        <w:spacing w:after="0"/>
        <w:jc w:val="both"/>
      </w:pPr>
      <w:r>
        <w:t>S obzirom</w:t>
      </w:r>
      <w:r w:rsidR="00FB7A8D">
        <w:t xml:space="preserve"> da su ostvareni vlastiti prihodi veći od </w:t>
      </w:r>
      <w:r>
        <w:t xml:space="preserve">prvotno </w:t>
      </w:r>
      <w:r w:rsidR="00FB7A8D">
        <w:t>planiranih 15.000,00 kn za 2021. godinu,</w:t>
      </w:r>
      <w:r w:rsidR="00085AE1">
        <w:t xml:space="preserve"> rebalansom</w:t>
      </w:r>
      <w:r w:rsidR="00A93355">
        <w:t xml:space="preserve"> br. 1</w:t>
      </w:r>
      <w:r w:rsidR="008033B4">
        <w:t xml:space="preserve">. </w:t>
      </w:r>
      <w:r w:rsidR="00FB7A8D">
        <w:t xml:space="preserve"> plan </w:t>
      </w:r>
      <w:r>
        <w:t xml:space="preserve"> za izvor 31 </w:t>
      </w:r>
      <w:r w:rsidR="00290FD2">
        <w:t xml:space="preserve"> </w:t>
      </w:r>
      <w:r w:rsidR="00FB7A8D">
        <w:t>se povećava</w:t>
      </w:r>
      <w:r w:rsidR="00A93355">
        <w:t xml:space="preserve"> na iznos od 45</w:t>
      </w:r>
      <w:r w:rsidR="00085AE1">
        <w:t>.00,</w:t>
      </w:r>
      <w:r w:rsidR="00FB7A8D">
        <w:t>00 kn. Planiraju se rashodi</w:t>
      </w:r>
      <w:r w:rsidR="00085AE1">
        <w:t xml:space="preserve"> prema sljedećem:</w:t>
      </w:r>
    </w:p>
    <w:p w:rsidR="00E45ED2" w:rsidRDefault="00E45ED2" w:rsidP="00085AE1">
      <w:pPr>
        <w:spacing w:after="0"/>
        <w:jc w:val="both"/>
        <w:rPr>
          <w:i/>
          <w:u w:val="single"/>
        </w:rPr>
      </w:pPr>
    </w:p>
    <w:p w:rsidR="00085AE1" w:rsidRDefault="00FB7A8D" w:rsidP="00085AE1">
      <w:pPr>
        <w:spacing w:after="0"/>
        <w:jc w:val="both"/>
        <w:rPr>
          <w:i/>
          <w:u w:val="single"/>
        </w:rPr>
      </w:pPr>
      <w:r>
        <w:rPr>
          <w:i/>
          <w:u w:val="single"/>
        </w:rPr>
        <w:t>Povećanje</w:t>
      </w:r>
      <w:r w:rsidR="00835CAA">
        <w:rPr>
          <w:i/>
          <w:u w:val="single"/>
        </w:rPr>
        <w:t>m</w:t>
      </w:r>
      <w:r w:rsidR="00085AE1">
        <w:rPr>
          <w:i/>
          <w:u w:val="single"/>
        </w:rPr>
        <w:t xml:space="preserve"> pozicija:</w:t>
      </w:r>
    </w:p>
    <w:p w:rsidR="001D3C21" w:rsidRPr="001D3C21" w:rsidRDefault="001D3C21" w:rsidP="00085AE1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 kn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91"/>
        <w:gridCol w:w="2928"/>
        <w:gridCol w:w="1418"/>
        <w:gridCol w:w="1835"/>
        <w:gridCol w:w="1816"/>
      </w:tblGrid>
      <w:tr w:rsidR="00085AE1" w:rsidTr="0001480E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E1" w:rsidRPr="00B404F6" w:rsidRDefault="00085AE1" w:rsidP="000148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Konto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E1" w:rsidRPr="00B404F6" w:rsidRDefault="00085AE1" w:rsidP="0001480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Naziv pozicije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AE1" w:rsidRPr="00B404F6" w:rsidRDefault="00085AE1" w:rsidP="0001480E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Plan</w:t>
            </w:r>
            <w:r w:rsidR="00D019B4">
              <w:rPr>
                <w:b/>
                <w:i/>
              </w:rPr>
              <w:t xml:space="preserve"> prije rebalansa 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1" w:rsidRPr="00B404F6" w:rsidRDefault="00085AE1" w:rsidP="0001480E">
            <w:pPr>
              <w:jc w:val="right"/>
              <w:rPr>
                <w:b/>
                <w:i/>
              </w:rPr>
            </w:pPr>
            <w:r w:rsidRPr="00B404F6">
              <w:rPr>
                <w:b/>
                <w:i/>
              </w:rPr>
              <w:t>Rebalans</w:t>
            </w:r>
            <w:r w:rsidR="00D019B4">
              <w:rPr>
                <w:b/>
                <w:i/>
              </w:rPr>
              <w:t xml:space="preserve"> 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1" w:rsidRPr="00B404F6" w:rsidRDefault="00835CAA" w:rsidP="000148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Povećanje</w:t>
            </w:r>
          </w:p>
        </w:tc>
      </w:tr>
      <w:tr w:rsidR="00085AE1" w:rsidTr="0001480E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E1" w:rsidRDefault="00845585" w:rsidP="0001480E">
            <w:pPr>
              <w:jc w:val="center"/>
              <w:rPr>
                <w:i/>
              </w:rPr>
            </w:pPr>
            <w:r>
              <w:rPr>
                <w:i/>
              </w:rPr>
              <w:t>konto 32931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E1" w:rsidRPr="00B404F6" w:rsidRDefault="00835CAA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Reprezentacija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AE1" w:rsidRPr="00B404F6" w:rsidRDefault="00835CAA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1" w:rsidRPr="00B404F6" w:rsidRDefault="00835CAA" w:rsidP="00085AE1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  <w:r w:rsidR="00D019B4">
              <w:rPr>
                <w:i/>
                <w:sz w:val="22"/>
              </w:rPr>
              <w:t>.000</w:t>
            </w:r>
            <w:r w:rsidR="00085AE1">
              <w:rPr>
                <w:i/>
                <w:sz w:val="22"/>
              </w:rPr>
              <w:t>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1" w:rsidRPr="00B404F6" w:rsidRDefault="00D019B4" w:rsidP="00085AE1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  <w:r w:rsidR="00085AE1">
              <w:rPr>
                <w:i/>
                <w:sz w:val="22"/>
              </w:rPr>
              <w:t>.000,00</w:t>
            </w:r>
          </w:p>
        </w:tc>
      </w:tr>
      <w:tr w:rsidR="001D3C21" w:rsidTr="0001480E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21" w:rsidRDefault="0050681D" w:rsidP="0001480E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50681D" w:rsidRDefault="0050681D" w:rsidP="0001480E">
            <w:pPr>
              <w:jc w:val="center"/>
              <w:rPr>
                <w:i/>
              </w:rPr>
            </w:pPr>
            <w:r>
              <w:rPr>
                <w:i/>
              </w:rPr>
              <w:t>32999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21" w:rsidRDefault="0050681D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Ostali nespomenuti rashod poslovanja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21" w:rsidRDefault="00D019B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  <w:r w:rsidR="0050681D">
              <w:rPr>
                <w:i/>
                <w:sz w:val="22"/>
              </w:rPr>
              <w:t>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21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  <w:r w:rsidR="0050681D">
              <w:rPr>
                <w:i/>
                <w:sz w:val="22"/>
              </w:rPr>
              <w:t>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21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  <w:r w:rsidR="0050681D">
              <w:rPr>
                <w:i/>
                <w:sz w:val="22"/>
              </w:rPr>
              <w:t>.000,00</w:t>
            </w:r>
          </w:p>
        </w:tc>
      </w:tr>
      <w:tr w:rsidR="00327644" w:rsidTr="0001480E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327644" w:rsidRDefault="00826CD5" w:rsidP="0001480E">
            <w:pPr>
              <w:jc w:val="center"/>
              <w:rPr>
                <w:i/>
              </w:rPr>
            </w:pPr>
            <w:r>
              <w:rPr>
                <w:i/>
              </w:rPr>
              <w:t>42211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Računala i računalna oprema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6.000,00</w:t>
            </w:r>
          </w:p>
        </w:tc>
      </w:tr>
      <w:tr w:rsidR="00327644" w:rsidTr="0001480E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4" w:rsidRDefault="00826CD5" w:rsidP="0001480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k</w:t>
            </w:r>
            <w:r w:rsidR="00327644">
              <w:rPr>
                <w:i/>
              </w:rPr>
              <w:t>onto</w:t>
            </w:r>
          </w:p>
          <w:p w:rsidR="00826CD5" w:rsidRDefault="00826CD5" w:rsidP="0001480E">
            <w:pPr>
              <w:jc w:val="center"/>
              <w:rPr>
                <w:i/>
              </w:rPr>
            </w:pPr>
            <w:r>
              <w:rPr>
                <w:i/>
              </w:rPr>
              <w:t>42219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4" w:rsidRDefault="00826CD5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Ostala uredska oprema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16.000,00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44" w:rsidRDefault="00327644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15.000,00</w:t>
            </w:r>
          </w:p>
        </w:tc>
      </w:tr>
      <w:tr w:rsidR="00826CD5" w:rsidTr="0001480E">
        <w:trPr>
          <w:trHeight w:val="3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5" w:rsidRDefault="00826CD5" w:rsidP="0001480E">
            <w:pPr>
              <w:jc w:val="center"/>
              <w:rPr>
                <w:i/>
              </w:rPr>
            </w:pPr>
            <w:r>
              <w:rPr>
                <w:i/>
              </w:rPr>
              <w:t>konto</w:t>
            </w:r>
          </w:p>
          <w:p w:rsidR="00826CD5" w:rsidRDefault="00845585" w:rsidP="0001480E">
            <w:pPr>
              <w:jc w:val="center"/>
              <w:rPr>
                <w:i/>
              </w:rPr>
            </w:pPr>
            <w:r>
              <w:rPr>
                <w:i/>
              </w:rPr>
              <w:t>3211</w:t>
            </w:r>
            <w:r w:rsidR="00826CD5">
              <w:rPr>
                <w:i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D5" w:rsidRDefault="00845585" w:rsidP="0001480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Službena putovanja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D5" w:rsidRDefault="00826CD5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D5" w:rsidRDefault="00826CD5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  <w:r w:rsidR="0059710B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>000,00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D5" w:rsidRDefault="00826CD5" w:rsidP="0001480E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2.000,00</w:t>
            </w:r>
          </w:p>
        </w:tc>
      </w:tr>
    </w:tbl>
    <w:p w:rsidR="00F54D02" w:rsidRDefault="00F54D02" w:rsidP="00F54D02">
      <w:pPr>
        <w:spacing w:after="0"/>
        <w:jc w:val="both"/>
      </w:pPr>
    </w:p>
    <w:p w:rsidR="009E35C6" w:rsidRDefault="0059710B" w:rsidP="009E35C6">
      <w:pPr>
        <w:spacing w:after="0"/>
        <w:jc w:val="both"/>
      </w:pPr>
      <w:r>
        <w:t>Iznos od 5.0</w:t>
      </w:r>
      <w:r w:rsidR="009E35C6">
        <w:t>00,00 kn planira se kao rashod za materijal i sirovine utrošenih za realizaciju vlastitih usluga i proizvoda.</w:t>
      </w:r>
      <w:r w:rsidR="003B79B6">
        <w:t xml:space="preserve"> </w:t>
      </w:r>
      <w:r w:rsidR="009E35C6">
        <w:t>Budući da je većina vlastitih prihoda od pružanja usluga ostvarena od najma prostora, ostali iznos raspoređuje se prema kontima prikazanim u prethodnoj tablici.</w:t>
      </w:r>
    </w:p>
    <w:p w:rsidR="00CF7966" w:rsidRDefault="00CF7966" w:rsidP="009E35C6">
      <w:pPr>
        <w:spacing w:after="0"/>
        <w:jc w:val="both"/>
      </w:pPr>
    </w:p>
    <w:p w:rsidR="00CF7966" w:rsidRPr="003B79B6" w:rsidRDefault="003B79B6" w:rsidP="009E35C6">
      <w:p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Završne napomene:</w:t>
      </w:r>
    </w:p>
    <w:p w:rsidR="003B79B6" w:rsidRDefault="003B79B6" w:rsidP="00844200">
      <w:pPr>
        <w:spacing w:after="0"/>
        <w:jc w:val="both"/>
      </w:pPr>
    </w:p>
    <w:p w:rsidR="003B79B6" w:rsidRPr="009A2385" w:rsidRDefault="00034695" w:rsidP="009A2385">
      <w:pPr>
        <w:pStyle w:val="Odlomakpopisa"/>
        <w:numPr>
          <w:ilvl w:val="0"/>
          <w:numId w:val="8"/>
        </w:numPr>
        <w:spacing w:after="0"/>
        <w:jc w:val="both"/>
        <w:rPr>
          <w:b/>
          <w:i/>
        </w:rPr>
      </w:pPr>
      <w:bookmarkStart w:id="0" w:name="_GoBack"/>
      <w:bookmarkEnd w:id="0"/>
      <w:r>
        <w:t>Kako je na izvoru 45 planirana preraspodj</w:t>
      </w:r>
      <w:r w:rsidR="00FA4DED">
        <w:t>ela sredstava u iznosu od 20.000</w:t>
      </w:r>
      <w:r w:rsidR="002160FF">
        <w:t>,</w:t>
      </w:r>
      <w:r>
        <w:t xml:space="preserve">00 kn </w:t>
      </w:r>
      <w:r w:rsidR="00FA4DED">
        <w:t>sa prijevoza na opremu, iznos od 20.000</w:t>
      </w:r>
      <w:r w:rsidR="002160FF">
        <w:t>,00</w:t>
      </w:r>
      <w:r>
        <w:t xml:space="preserve"> kn bit će naknadno prenesen odlukom Županije. </w:t>
      </w:r>
    </w:p>
    <w:p w:rsidR="00F54D02" w:rsidRDefault="00F54D02" w:rsidP="00F54D02">
      <w:pPr>
        <w:spacing w:after="0"/>
        <w:jc w:val="both"/>
      </w:pPr>
    </w:p>
    <w:p w:rsidR="00F54D02" w:rsidRDefault="00F54D02" w:rsidP="00F54D02">
      <w:pPr>
        <w:spacing w:after="0"/>
        <w:jc w:val="both"/>
      </w:pPr>
      <w:r>
        <w:t>U skladu s prethodnim obrazloženjem molimo usvojiti Prijedlog izmjena f</w:t>
      </w:r>
      <w:r w:rsidR="008375E6">
        <w:t>inancijskog plana br. 1. za 2021</w:t>
      </w:r>
      <w:r>
        <w:t>. godinu.</w:t>
      </w:r>
    </w:p>
    <w:p w:rsidR="003B27D2" w:rsidRDefault="003B27D2" w:rsidP="00F54D02">
      <w:pPr>
        <w:spacing w:after="0"/>
        <w:jc w:val="both"/>
      </w:pPr>
    </w:p>
    <w:p w:rsidR="003B27D2" w:rsidRDefault="003B27D2" w:rsidP="00F54D02">
      <w:pPr>
        <w:spacing w:after="0"/>
        <w:jc w:val="both"/>
      </w:pPr>
    </w:p>
    <w:p w:rsidR="003B27D2" w:rsidRDefault="003B27D2" w:rsidP="00F54D02">
      <w:pPr>
        <w:spacing w:after="0"/>
        <w:jc w:val="both"/>
      </w:pPr>
    </w:p>
    <w:p w:rsidR="003B27D2" w:rsidRDefault="003B27D2" w:rsidP="00F54D0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B27D2" w:rsidRDefault="003B27D2" w:rsidP="00F54D0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B27D2" w:rsidRDefault="003B27D2" w:rsidP="00F54D02">
      <w:pPr>
        <w:spacing w:after="0"/>
        <w:jc w:val="both"/>
      </w:pPr>
    </w:p>
    <w:p w:rsidR="003B27D2" w:rsidRDefault="003B27D2" w:rsidP="00F54D0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Anamarija </w:t>
      </w:r>
      <w:proofErr w:type="spellStart"/>
      <w:r>
        <w:t>Ivković</w:t>
      </w:r>
      <w:proofErr w:type="spellEnd"/>
      <w:r>
        <w:t xml:space="preserve"> </w:t>
      </w:r>
      <w:proofErr w:type="spellStart"/>
      <w:r>
        <w:t>dipl.ing</w:t>
      </w:r>
      <w:proofErr w:type="spellEnd"/>
      <w:r>
        <w:t>.</w:t>
      </w:r>
    </w:p>
    <w:p w:rsidR="00F54D02" w:rsidRDefault="00F54D02" w:rsidP="00F54D02">
      <w:pPr>
        <w:spacing w:after="0"/>
        <w:jc w:val="both"/>
      </w:pPr>
    </w:p>
    <w:p w:rsidR="00835CAA" w:rsidRDefault="00835CAA" w:rsidP="00835CAA">
      <w:pPr>
        <w:spacing w:after="0"/>
        <w:jc w:val="both"/>
      </w:pPr>
    </w:p>
    <w:sectPr w:rsidR="00835CAA" w:rsidSect="000E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6F2"/>
    <w:multiLevelType w:val="hybridMultilevel"/>
    <w:tmpl w:val="1E62F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A09"/>
    <w:multiLevelType w:val="hybridMultilevel"/>
    <w:tmpl w:val="CBA05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99A"/>
    <w:multiLevelType w:val="hybridMultilevel"/>
    <w:tmpl w:val="84EA7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32D07"/>
    <w:multiLevelType w:val="hybridMultilevel"/>
    <w:tmpl w:val="67D02292"/>
    <w:lvl w:ilvl="0" w:tplc="FC20F420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D3673"/>
    <w:multiLevelType w:val="hybridMultilevel"/>
    <w:tmpl w:val="761A3FD4"/>
    <w:lvl w:ilvl="0" w:tplc="510CD2E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1363"/>
    <w:multiLevelType w:val="hybridMultilevel"/>
    <w:tmpl w:val="18D0423C"/>
    <w:lvl w:ilvl="0" w:tplc="FC20F42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101C5"/>
    <w:multiLevelType w:val="hybridMultilevel"/>
    <w:tmpl w:val="B8309FC0"/>
    <w:lvl w:ilvl="0" w:tplc="9B5241F4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2"/>
    <w:rsid w:val="00010C9D"/>
    <w:rsid w:val="00034639"/>
    <w:rsid w:val="00034695"/>
    <w:rsid w:val="00037375"/>
    <w:rsid w:val="000733CD"/>
    <w:rsid w:val="00085AE1"/>
    <w:rsid w:val="000B385D"/>
    <w:rsid w:val="000E4863"/>
    <w:rsid w:val="000E6399"/>
    <w:rsid w:val="00147FC0"/>
    <w:rsid w:val="001957C4"/>
    <w:rsid w:val="001D3C21"/>
    <w:rsid w:val="0021177F"/>
    <w:rsid w:val="002160FF"/>
    <w:rsid w:val="0027603B"/>
    <w:rsid w:val="00290FD2"/>
    <w:rsid w:val="0029133C"/>
    <w:rsid w:val="002F38BC"/>
    <w:rsid w:val="00312C88"/>
    <w:rsid w:val="0032197F"/>
    <w:rsid w:val="0032587A"/>
    <w:rsid w:val="00327644"/>
    <w:rsid w:val="003306D1"/>
    <w:rsid w:val="00364622"/>
    <w:rsid w:val="003856B3"/>
    <w:rsid w:val="003A488C"/>
    <w:rsid w:val="003A4A98"/>
    <w:rsid w:val="003A5913"/>
    <w:rsid w:val="003B27D2"/>
    <w:rsid w:val="003B79B6"/>
    <w:rsid w:val="003C0494"/>
    <w:rsid w:val="00414271"/>
    <w:rsid w:val="00435B40"/>
    <w:rsid w:val="004702DB"/>
    <w:rsid w:val="0050681D"/>
    <w:rsid w:val="005223E3"/>
    <w:rsid w:val="00522AF3"/>
    <w:rsid w:val="005772D8"/>
    <w:rsid w:val="0059710B"/>
    <w:rsid w:val="005A5FFB"/>
    <w:rsid w:val="00605A84"/>
    <w:rsid w:val="00621485"/>
    <w:rsid w:val="00660BCD"/>
    <w:rsid w:val="006864F6"/>
    <w:rsid w:val="006D5F23"/>
    <w:rsid w:val="00737B77"/>
    <w:rsid w:val="00755CF9"/>
    <w:rsid w:val="00764DD3"/>
    <w:rsid w:val="0077495F"/>
    <w:rsid w:val="00782D64"/>
    <w:rsid w:val="008033B4"/>
    <w:rsid w:val="00826CD5"/>
    <w:rsid w:val="00834D71"/>
    <w:rsid w:val="00835CAA"/>
    <w:rsid w:val="00836778"/>
    <w:rsid w:val="008375E6"/>
    <w:rsid w:val="00844200"/>
    <w:rsid w:val="00845585"/>
    <w:rsid w:val="00855F38"/>
    <w:rsid w:val="0087365B"/>
    <w:rsid w:val="008A112F"/>
    <w:rsid w:val="008D7C77"/>
    <w:rsid w:val="009409B9"/>
    <w:rsid w:val="00942B9B"/>
    <w:rsid w:val="009A2385"/>
    <w:rsid w:val="009A7E60"/>
    <w:rsid w:val="009B0D97"/>
    <w:rsid w:val="009E35C6"/>
    <w:rsid w:val="009E5601"/>
    <w:rsid w:val="009F264E"/>
    <w:rsid w:val="009F3AC1"/>
    <w:rsid w:val="00A93355"/>
    <w:rsid w:val="00A94948"/>
    <w:rsid w:val="00B16EC1"/>
    <w:rsid w:val="00B404F6"/>
    <w:rsid w:val="00B55458"/>
    <w:rsid w:val="00B9208A"/>
    <w:rsid w:val="00BB757E"/>
    <w:rsid w:val="00BF0A8A"/>
    <w:rsid w:val="00C05C63"/>
    <w:rsid w:val="00C22D90"/>
    <w:rsid w:val="00C370DD"/>
    <w:rsid w:val="00C460D1"/>
    <w:rsid w:val="00C60146"/>
    <w:rsid w:val="00CC44DA"/>
    <w:rsid w:val="00CE0C44"/>
    <w:rsid w:val="00CF7966"/>
    <w:rsid w:val="00D019B4"/>
    <w:rsid w:val="00D43224"/>
    <w:rsid w:val="00D60969"/>
    <w:rsid w:val="00D740C8"/>
    <w:rsid w:val="00DC3F30"/>
    <w:rsid w:val="00E45ED2"/>
    <w:rsid w:val="00E538A2"/>
    <w:rsid w:val="00E57268"/>
    <w:rsid w:val="00E87347"/>
    <w:rsid w:val="00E9232B"/>
    <w:rsid w:val="00EB192E"/>
    <w:rsid w:val="00F151FA"/>
    <w:rsid w:val="00F15729"/>
    <w:rsid w:val="00F51A0C"/>
    <w:rsid w:val="00F54D02"/>
    <w:rsid w:val="00F56940"/>
    <w:rsid w:val="00FA4DED"/>
    <w:rsid w:val="00F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3E40"/>
  <w15:docId w15:val="{124218BA-324B-45CB-B738-ED92B2C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D02"/>
    <w:pPr>
      <w:ind w:left="720"/>
      <w:contextualSpacing/>
    </w:pPr>
  </w:style>
  <w:style w:type="table" w:styleId="Reetkatablice">
    <w:name w:val="Table Grid"/>
    <w:basedOn w:val="Obinatablica"/>
    <w:uiPriority w:val="59"/>
    <w:rsid w:val="00F5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B263B-336F-49BF-BA2F-F1649EB2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33</cp:revision>
  <cp:lastPrinted>2021-09-23T07:49:00Z</cp:lastPrinted>
  <dcterms:created xsi:type="dcterms:W3CDTF">2021-09-21T06:50:00Z</dcterms:created>
  <dcterms:modified xsi:type="dcterms:W3CDTF">2021-09-28T06:10:00Z</dcterms:modified>
</cp:coreProperties>
</file>