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C3EAF">
      <w:pPr>
        <w:spacing w:after="0"/>
        <w:rPr/>
      </w:pPr>
      <w:r>
        <w:rPr/>
        <w:t xml:space="preserve">Prirodoslovno-grafička škola Zadar</w:t>
      </w:r>
    </w:p>
    <w:p w14:paraId="550D822F">
      <w:pPr>
        <w:spacing w:after="0"/>
        <w:rPr/>
      </w:pPr>
      <w:r>
        <w:rPr/>
        <w:t xml:space="preserve">Perivoj Vladimira Nazora 3</w:t>
      </w:r>
    </w:p>
    <w:p w14:paraId="02483146">
      <w:pPr>
        <w:spacing w:after="0"/>
        <w:rPr/>
      </w:pPr>
    </w:p>
    <w:p w14:paraId="0B40EBD2">
      <w:pPr>
        <w:spacing w:after="0" w:line="240" w:lineRule="auto"/>
        <w:ind w:right="-567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7DB39600">
      <w:pPr>
        <w:spacing w:after="0" w:line="240" w:lineRule="auto"/>
        <w:ind w:right="-567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 xml:space="preserve">KLASA:       </w:t>
      </w:r>
      <w:r>
        <w:rPr>
          <w:noProof/>
          <w:szCs w:val="24"/>
          <w:lang w:val="en-US"/>
        </w:rPr>
        <w:t xml:space="preserve">400-02/24-01/1</w:t>
      </w:r>
      <w:r>
        <w:rPr>
          <w:szCs w:val="24"/>
        </w:rPr>
        <w:t xml:space="preserve">                                                                                                                                             </w:t>
      </w:r>
    </w:p>
    <w:p w14:paraId="6D8E8159">
      <w:pPr>
        <w:spacing/>
        <w:rPr>
          <w:szCs w:val="24"/>
        </w:rPr>
      </w:pPr>
      <w:r>
        <w:rPr>
          <w:szCs w:val="24"/>
        </w:rPr>
        <w:t xml:space="preserve">URBROJ:     </w:t>
      </w:r>
      <w:r>
        <w:rPr>
          <w:noProof/>
          <w:szCs w:val="24"/>
        </w:rPr>
        <w:t xml:space="preserve">2198-1-63-24-1</w:t>
      </w:r>
      <w:r>
        <w:rPr>
          <w:szCs w:val="24"/>
        </w:rPr>
        <w:t xml:space="preserve">                                              </w:t>
      </w:r>
    </w:p>
    <w:p w14:paraId="1F464771">
      <w:pPr>
        <w:spacing/>
        <w:rPr>
          <w:szCs w:val="24"/>
        </w:rPr>
      </w:pPr>
      <w:r>
        <w:rPr/>
        <w:t xml:space="preserve">                                                                    </w:t>
      </w:r>
      <w:r>
        <w:rPr/>
        <w:t xml:space="preserve">                             </w:t>
      </w:r>
      <w:r>
        <w:rPr/>
        <w:t xml:space="preserve">    </w:t>
      </w:r>
      <w:r>
        <w:rPr/>
        <w:drawing>
          <wp:inline>
            <wp:extent cx="933580" cy="93358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8E436">
      <w:pPr>
        <w:spacing/>
        <w:rPr/>
      </w:pPr>
      <w:r>
        <w:rPr/>
        <w:t xml:space="preserve">              </w:t>
      </w:r>
    </w:p>
    <w:p w14:paraId="44EE4130">
      <w:pPr>
        <w:spacing/>
        <w:rPr/>
      </w:pPr>
      <w:r>
        <w:rPr/>
        <w:t xml:space="preserve">                                                                                         </w:t>
      </w:r>
    </w:p>
    <w:p w14:paraId="0347B10C">
      <w:pPr>
        <w:spacing/>
        <w:rPr/>
      </w:pPr>
      <w:r>
        <w:rPr/>
        <w:t xml:space="preserve">                   </w:t>
      </w:r>
    </w:p>
    <w:p w14:paraId="705FCE55">
      <w:pPr>
        <w:spacing/>
        <w:rPr/>
      </w:pPr>
      <w:r>
        <w:rPr/>
        <w:t xml:space="preserve">Zadar, </w:t>
      </w:r>
      <w:r>
        <w:rPr/>
        <w:t xml:space="preserve">20.03.2024.</w:t>
      </w:r>
    </w:p>
    <w:p w14:paraId="6FBB77B4">
      <w:pPr>
        <w:spacing w:after="0"/>
        <w:rPr/>
      </w:pPr>
    </w:p>
    <w:p w14:paraId="3CD97F07">
      <w:pPr>
        <w:spacing w:after="0"/>
        <w:rPr/>
      </w:pPr>
    </w:p>
    <w:p w14:paraId="05EC20E4">
      <w:pPr>
        <w:spacing w:after="0"/>
        <w:rPr/>
      </w:pPr>
    </w:p>
    <w:p w14:paraId="4EB67EE7">
      <w:pPr>
        <w:spacing w:after="0"/>
        <w:rPr/>
      </w:pPr>
    </w:p>
    <w:p w14:paraId="4A2F46F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OBRAZLOŽENJE IZVJEŠTAJA O IZVRŠENJU FINANCIJSKOG PLANA OD 1.1.202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. DO </w:t>
      </w:r>
      <w:r>
        <w:rPr>
          <w:b/>
          <w:sz w:val="28"/>
          <w:szCs w:val="28"/>
        </w:rPr>
        <w:t xml:space="preserve">31.12</w:t>
      </w:r>
      <w:r>
        <w:rPr>
          <w:b/>
          <w:sz w:val="28"/>
          <w:szCs w:val="28"/>
        </w:rPr>
        <w:t xml:space="preserve">.2023.</w:t>
      </w:r>
    </w:p>
    <w:p w14:paraId="12C29D3F">
      <w:pPr>
        <w:spacing w:after="0"/>
        <w:jc w:val="center"/>
        <w:rPr>
          <w:b/>
          <w:sz w:val="28"/>
          <w:szCs w:val="28"/>
        </w:rPr>
      </w:pPr>
    </w:p>
    <w:p w14:paraId="4F1724BF">
      <w:pPr>
        <w:spacing w:after="0"/>
        <w:jc w:val="center"/>
        <w:rPr>
          <w:b/>
          <w:sz w:val="28"/>
          <w:szCs w:val="28"/>
        </w:rPr>
      </w:pPr>
    </w:p>
    <w:p w14:paraId="2B464278">
      <w:pPr>
        <w:spacing w:after="0"/>
        <w:jc w:val="center"/>
        <w:rPr>
          <w:b/>
          <w:sz w:val="28"/>
          <w:szCs w:val="28"/>
        </w:rPr>
      </w:pPr>
    </w:p>
    <w:p w14:paraId="4170BF19">
      <w:pPr>
        <w:spacing w:after="0"/>
        <w:jc w:val="center"/>
        <w:rPr>
          <w:b/>
          <w:sz w:val="28"/>
          <w:szCs w:val="28"/>
        </w:rPr>
      </w:pPr>
    </w:p>
    <w:p w14:paraId="1D600331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 xml:space="preserve">1. OBRAZLOŽENJE OPĆEG DIJELA IZVJEŠTAJA</w:t>
      </w:r>
    </w:p>
    <w:p w14:paraId="076731DE">
      <w:pPr>
        <w:spacing w:after="0"/>
        <w:jc w:val="both"/>
        <w:rPr>
          <w:b/>
          <w:szCs w:val="24"/>
        </w:rPr>
      </w:pPr>
    </w:p>
    <w:p w14:paraId="1CF0B491">
      <w:pPr>
        <w:pStyle w:val="Naslov2"/>
        <w:spacing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Pregled planiranih i ostvarenih prihoda za razdoblje od 1.1.2023. do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31.12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.2023.</w:t>
      </w:r>
    </w:p>
    <w:p w14:paraId="594BEAE0">
      <w:pPr>
        <w:spacing/>
        <w:rPr/>
      </w:pPr>
    </w:p>
    <w:p w14:paraId="507E8929">
      <w:pPr>
        <w:spacing w:line="276" w:lineRule="auto"/>
        <w:jc w:val="both"/>
        <w:rPr/>
      </w:pPr>
      <w:r>
        <w:rPr/>
        <w:t xml:space="preserve">Prihodi poslovanja za 2023. godinu planirani su u iznosu od </w:t>
      </w:r>
      <w:r>
        <w:rPr/>
        <w:t xml:space="preserve">1.016.342,72</w:t>
      </w:r>
      <w:r>
        <w:rPr/>
        <w:t xml:space="preserve"> eura,</w:t>
      </w:r>
      <w:r>
        <w:rPr/>
        <w:t xml:space="preserve"> </w:t>
      </w:r>
      <w:r>
        <w:rPr/>
        <w:t xml:space="preserve">a </w:t>
      </w:r>
      <w:r>
        <w:rPr/>
        <w:t xml:space="preserve">ostvareni u iznosu od  </w:t>
      </w:r>
      <w:r>
        <w:rPr/>
        <w:t xml:space="preserve">1.089.130,21</w:t>
      </w:r>
      <w:r>
        <w:rPr/>
        <w:t xml:space="preserve"> eura što predstavlja izvršenje plana od </w:t>
      </w:r>
      <w:r>
        <w:rPr/>
        <w:t xml:space="preserve">107,16 </w:t>
      </w:r>
      <w:r>
        <w:rPr/>
        <w:t xml:space="preserve">%.</w:t>
      </w:r>
    </w:p>
    <w:p w14:paraId="2160D86A">
      <w:pPr>
        <w:spacing w:line="276" w:lineRule="auto"/>
        <w:jc w:val="both"/>
        <w:rPr/>
      </w:pPr>
    </w:p>
    <w:p w14:paraId="1B5B3147">
      <w:pPr>
        <w:spacing w:line="276" w:lineRule="auto"/>
        <w:jc w:val="both"/>
        <w:rPr>
          <w:b/>
          <w:i/>
        </w:rPr>
      </w:pPr>
      <w:r>
        <w:rPr>
          <w:b/>
          <w:i/>
        </w:rPr>
        <w:t xml:space="preserve">Prihodi od pomoći iz inozemstva i od subjekata unutar općeg proračuna</w:t>
      </w:r>
    </w:p>
    <w:p w14:paraId="147E314F">
      <w:pPr>
        <w:spacing w:after="0" w:line="276" w:lineRule="auto"/>
        <w:jc w:val="both"/>
        <w:rPr>
          <w:i/>
          <w:iCs/>
        </w:rPr>
      </w:pPr>
      <w:r>
        <w:rPr/>
        <w:t xml:space="preserve">Pomoći proračunskim korisnicima iz proračuna koji im nije nadležan ostvarene su u visini od </w:t>
      </w:r>
      <w:r>
        <w:rPr/>
        <w:t xml:space="preserve">939</w:t>
      </w:r>
      <w:r>
        <w:rPr/>
        <w:t xml:space="preserve">.</w:t>
      </w:r>
      <w:r>
        <w:rPr/>
        <w:t xml:space="preserve">401,95</w:t>
      </w:r>
      <w:r>
        <w:rPr/>
        <w:t xml:space="preserve"> eura što </w:t>
      </w:r>
      <w:r>
        <w:rPr/>
        <w:t xml:space="preserve">iznosi</w:t>
      </w:r>
      <w:r>
        <w:rPr/>
        <w:t xml:space="preserve"> </w:t>
      </w:r>
      <w:r>
        <w:rPr/>
        <w:t xml:space="preserve">108,78</w:t>
      </w:r>
      <w:r>
        <w:rPr/>
        <w:t xml:space="preserve">% od plana. Ostvareno se odnosi na </w:t>
      </w:r>
      <w:r>
        <w:rPr>
          <w:i/>
        </w:rPr>
        <w:t xml:space="preserve">pomoći iz državnog proračuna</w:t>
      </w:r>
      <w:r>
        <w:rPr/>
        <w:t xml:space="preserve"> odnosno Ministarstva znanosti i obrazovanja (prihodi za plaće, materijalna prava zaposlenika,  županijsko stručno vijeće, prihoda namijenjenih za nabavu zaliha menstrualnih potrepština</w:t>
      </w:r>
      <w:r>
        <w:rPr/>
        <w:t xml:space="preserve">, prihoda za lektiru i udžbenike za učenike raseljene iz Ukrajine</w:t>
      </w:r>
      <w:r>
        <w:rPr/>
        <w:t xml:space="preserve">) i </w:t>
      </w:r>
      <w:r>
        <w:rPr>
          <w:i/>
        </w:rPr>
        <w:t xml:space="preserve">pomoći iz inozemstva</w:t>
      </w:r>
      <w:r>
        <w:rPr/>
        <w:t xml:space="preserve"> (završna uplata za Projekt Erasmus </w:t>
      </w:r>
      <w:r>
        <w:rPr/>
        <w:t xml:space="preserve">CoLab</w:t>
      </w:r>
      <w:r>
        <w:rPr/>
        <w:t xml:space="preserve">, prihodi za  Projekt Erasmus </w:t>
      </w:r>
      <w:r>
        <w:rPr/>
        <w:t xml:space="preserve">Plato´S</w:t>
      </w:r>
      <w:r>
        <w:rPr/>
        <w:t xml:space="preserve">, te Projekt Školska shema i Projekt Inkluzija – korak bliže društvu bez prepreka kojim se financira rad pomoćnika u nastavi) i </w:t>
      </w:r>
      <w:r>
        <w:rPr>
          <w:i/>
          <w:iCs/>
        </w:rPr>
        <w:t xml:space="preserve">prihoda za posebne namjene.</w:t>
      </w:r>
    </w:p>
    <w:p w14:paraId="4836663C">
      <w:pPr>
        <w:spacing w:after="0" w:line="276" w:lineRule="auto"/>
        <w:jc w:val="both"/>
        <w:rPr/>
      </w:pPr>
    </w:p>
    <w:p w14:paraId="69FCF106">
      <w:pPr>
        <w:spacing w:after="0" w:line="276" w:lineRule="auto"/>
        <w:jc w:val="both"/>
        <w:rPr/>
      </w:pPr>
    </w:p>
    <w:p w14:paraId="27B75C3B">
      <w:pPr>
        <w:spacing w:after="0" w:line="276" w:lineRule="auto"/>
        <w:jc w:val="both"/>
        <w:rPr/>
      </w:pPr>
    </w:p>
    <w:p w14:paraId="405A103C">
      <w:pPr>
        <w:spacing w:after="0" w:line="276" w:lineRule="auto"/>
        <w:jc w:val="both"/>
        <w:rPr/>
      </w:pPr>
    </w:p>
    <w:p w14:paraId="5A2DAE9A">
      <w:pPr>
        <w:spacing w:after="0" w:line="276" w:lineRule="auto"/>
        <w:jc w:val="both"/>
        <w:rPr>
          <w:b/>
          <w:i/>
        </w:rPr>
      </w:pPr>
      <w:r>
        <w:rPr>
          <w:b/>
          <w:i/>
        </w:rPr>
        <w:t xml:space="preserve">Prihodi od prodaje proizvoda i robe te pruženih usluga</w:t>
      </w:r>
    </w:p>
    <w:p w14:paraId="25903DDC">
      <w:pPr>
        <w:spacing w:after="0" w:line="276" w:lineRule="auto"/>
        <w:jc w:val="both"/>
        <w:rPr>
          <w:b/>
          <w:i/>
        </w:rPr>
      </w:pPr>
    </w:p>
    <w:p w14:paraId="29A1FAB0">
      <w:pPr>
        <w:spacing w:after="0" w:line="276" w:lineRule="auto"/>
        <w:jc w:val="both"/>
        <w:rPr/>
      </w:pPr>
      <w:r>
        <w:rPr/>
        <w:t xml:space="preserve">Vlastiti prihodi, odnosno prihodi od prodaje proizvoda i robe te pruženih usluga planirani su u iznosu od 3.778,00 eura, a ostvareni u iznosu od </w:t>
      </w:r>
      <w:r>
        <w:rPr/>
        <w:t xml:space="preserve">13.459,76</w:t>
      </w:r>
      <w:r>
        <w:rPr/>
        <w:t xml:space="preserve"> eura s indeksom </w:t>
      </w:r>
      <w:r>
        <w:rPr/>
        <w:t xml:space="preserve">356,27</w:t>
      </w:r>
      <w:r>
        <w:rPr/>
        <w:t xml:space="preserve">. Škola je ostvarila vlastite prihode od najma prostora, te pružanja usluge grafičke pripreme i tiska (plakata, kalendara, knjižica, letaka i sl.).</w:t>
      </w:r>
    </w:p>
    <w:p w14:paraId="461AFCA4">
      <w:pPr>
        <w:spacing w:after="0" w:line="276" w:lineRule="auto"/>
        <w:jc w:val="both"/>
        <w:rPr/>
      </w:pPr>
    </w:p>
    <w:p w14:paraId="145AFD17">
      <w:pPr>
        <w:spacing w:after="0" w:line="276" w:lineRule="auto"/>
        <w:jc w:val="both"/>
        <w:rPr>
          <w:b/>
          <w:i/>
        </w:rPr>
      </w:pPr>
      <w:r>
        <w:rPr>
          <w:b/>
          <w:i/>
        </w:rPr>
        <w:t xml:space="preserve">Prihodi iz nadležnog proračuna </w:t>
      </w:r>
    </w:p>
    <w:p w14:paraId="01AC2936">
      <w:pPr>
        <w:spacing w:after="0" w:line="276" w:lineRule="auto"/>
        <w:jc w:val="both"/>
        <w:rPr>
          <w:b/>
          <w:i/>
        </w:rPr>
      </w:pPr>
    </w:p>
    <w:p w14:paraId="44B5A587">
      <w:pPr>
        <w:spacing w:after="0" w:line="276" w:lineRule="auto"/>
        <w:jc w:val="both"/>
        <w:rPr/>
      </w:pPr>
      <w:r>
        <w:rPr/>
        <w:t xml:space="preserve">Prihodi iz nadležnog proračuna ostvareni su u iznosu od </w:t>
      </w:r>
      <w:r>
        <w:rPr/>
        <w:t xml:space="preserve">108.143,81</w:t>
      </w:r>
      <w:r>
        <w:rPr/>
        <w:t xml:space="preserve"> eura što je </w:t>
      </w:r>
      <w:r>
        <w:rPr/>
        <w:t xml:space="preserve">91,83</w:t>
      </w:r>
      <w:r>
        <w:rPr/>
        <w:t xml:space="preserve">% od plana. Prihodi iz proračuna za financiranje redovne djelatnosti su prihodi iz proračuna Zadarske županije koji su planirani u iznosu od </w:t>
      </w:r>
      <w:r>
        <w:rPr/>
        <w:t xml:space="preserve">117.763,37 eura</w:t>
      </w:r>
      <w:r>
        <w:rPr/>
        <w:t xml:space="preserve"> </w:t>
      </w:r>
      <w:r>
        <w:rPr/>
        <w:t xml:space="preserve">s indeksom izvršenja od 91,83.</w:t>
      </w:r>
    </w:p>
    <w:p w14:paraId="079C0CA2">
      <w:pPr>
        <w:spacing w:after="0" w:line="276" w:lineRule="auto"/>
        <w:jc w:val="both"/>
        <w:rPr/>
      </w:pPr>
    </w:p>
    <w:p w14:paraId="5A9BAF63">
      <w:pPr>
        <w:spacing w:after="0" w:line="276" w:lineRule="auto"/>
        <w:jc w:val="both"/>
        <w:rPr/>
      </w:pPr>
    </w:p>
    <w:p w14:paraId="089D4C24">
      <w:pPr>
        <w:spacing w:after="0" w:line="276" w:lineRule="auto"/>
        <w:ind w:left="705" w:hanging="705"/>
        <w:jc w:val="both"/>
        <w:rPr/>
      </w:pPr>
      <w:r>
        <w:rPr>
          <w:b/>
        </w:rPr>
        <w:t xml:space="preserve">1.2 </w:t>
      </w:r>
      <w:r>
        <w:rPr>
          <w:b/>
        </w:rPr>
        <w:tab/>
        <w:t xml:space="preserve"/>
      </w:r>
      <w:r>
        <w:rPr>
          <w:b/>
        </w:rPr>
        <w:t xml:space="preserve">Pregled planiranih i ostvarenih rashoda za razdoblje od 1.1.2023. do </w:t>
      </w:r>
      <w:r>
        <w:rPr>
          <w:b/>
        </w:rPr>
        <w:t xml:space="preserve">31.12</w:t>
      </w:r>
      <w:r>
        <w:rPr>
          <w:b/>
        </w:rPr>
        <w:t xml:space="preserve">.2023. godine</w:t>
      </w:r>
      <w:r>
        <w:rPr/>
        <w:t xml:space="preserve"> </w:t>
      </w:r>
    </w:p>
    <w:p w14:paraId="157EB7C7">
      <w:pPr>
        <w:spacing w:after="0" w:line="276" w:lineRule="auto"/>
        <w:jc w:val="both"/>
        <w:rPr/>
      </w:pPr>
    </w:p>
    <w:p w14:paraId="395D17B3">
      <w:pPr>
        <w:spacing w:after="0" w:line="276" w:lineRule="auto"/>
        <w:jc w:val="both"/>
        <w:rPr/>
      </w:pPr>
      <w:r>
        <w:rPr/>
        <w:t xml:space="preserve">Ukupni rashodi ostvareni su u iznosu od </w:t>
      </w:r>
      <w:r>
        <w:rPr/>
        <w:t xml:space="preserve">1.081.901,69</w:t>
      </w:r>
      <w:r>
        <w:rPr/>
        <w:t xml:space="preserve"> eura što predstavlja izvršenje plana od </w:t>
      </w:r>
      <w:r>
        <w:rPr/>
        <w:t xml:space="preserve">104,82</w:t>
      </w:r>
      <w:r>
        <w:rPr/>
        <w:t xml:space="preserve">%.</w:t>
      </w:r>
    </w:p>
    <w:p w14:paraId="4362EFAA">
      <w:pPr>
        <w:spacing w:after="0" w:line="276" w:lineRule="auto"/>
        <w:jc w:val="both"/>
        <w:rPr/>
      </w:pPr>
      <w:r>
        <w:rPr/>
        <w:t xml:space="preserve">Najveći dio ostvarenih rashoda odnose se na rashode poslovanja sa udjelom od 99,</w:t>
      </w:r>
      <w:r>
        <w:rPr/>
        <w:t xml:space="preserve">20</w:t>
      </w:r>
      <w:r>
        <w:rPr/>
        <w:t xml:space="preserve">% koje čine rashodi za zaposlene i materijalni rashodi.</w:t>
      </w:r>
    </w:p>
    <w:p w14:paraId="45912B18">
      <w:pPr>
        <w:spacing w:after="0" w:line="276" w:lineRule="auto"/>
        <w:jc w:val="both"/>
        <w:rPr>
          <w:b/>
          <w:i/>
        </w:rPr>
      </w:pPr>
    </w:p>
    <w:p w14:paraId="6D2F057E">
      <w:pPr>
        <w:spacing w:after="0" w:line="276" w:lineRule="auto"/>
        <w:jc w:val="both"/>
        <w:rPr>
          <w:b/>
          <w:i/>
        </w:rPr>
      </w:pPr>
      <w:r>
        <w:rPr>
          <w:b/>
          <w:i/>
        </w:rPr>
        <w:t xml:space="preserve">Rashodi za zaposlene</w:t>
      </w:r>
    </w:p>
    <w:p w14:paraId="3FF2A171">
      <w:pPr>
        <w:spacing w:after="0" w:line="276" w:lineRule="auto"/>
        <w:jc w:val="both"/>
        <w:rPr>
          <w:b/>
          <w:i/>
        </w:rPr>
      </w:pPr>
    </w:p>
    <w:p w14:paraId="5A2850D4">
      <w:pPr>
        <w:spacing w:after="0" w:line="276" w:lineRule="auto"/>
        <w:jc w:val="both"/>
        <w:rPr/>
      </w:pPr>
      <w:r>
        <w:rPr/>
        <w:t xml:space="preserve">Rashodi za zaposlene izvršeni su u iznosu od </w:t>
      </w:r>
      <w:r>
        <w:rPr/>
        <w:t xml:space="preserve">954.054,56</w:t>
      </w:r>
      <w:r>
        <w:rPr/>
        <w:t xml:space="preserve"> eura s indeksom od </w:t>
      </w:r>
      <w:r>
        <w:rPr/>
        <w:t xml:space="preserve">105,99</w:t>
      </w:r>
      <w:r>
        <w:rPr/>
        <w:t xml:space="preserve"> u odnosu na plan. Obuhvaćaju rashode za plaće zaposlenika i ostala materijalna prava zaposlenika financiranih iz državnog proračuna te plaće pomoćnika u nastavi.</w:t>
      </w:r>
    </w:p>
    <w:p w14:paraId="57B1BA9E">
      <w:pPr>
        <w:spacing w:after="0" w:line="276" w:lineRule="auto"/>
        <w:jc w:val="both"/>
        <w:rPr/>
      </w:pPr>
    </w:p>
    <w:p w14:paraId="585124ED">
      <w:pPr>
        <w:spacing w:after="0" w:line="276" w:lineRule="auto"/>
        <w:jc w:val="both"/>
        <w:rPr>
          <w:b/>
          <w:i/>
        </w:rPr>
      </w:pPr>
      <w:r>
        <w:rPr>
          <w:b/>
          <w:i/>
        </w:rPr>
        <w:t xml:space="preserve">Materijalni rashodi</w:t>
      </w:r>
    </w:p>
    <w:p w14:paraId="3C0276A8">
      <w:pPr>
        <w:spacing w:after="0" w:line="276" w:lineRule="auto"/>
        <w:jc w:val="both"/>
        <w:rPr>
          <w:b/>
          <w:i/>
        </w:rPr>
      </w:pPr>
    </w:p>
    <w:p w14:paraId="458EEDB6">
      <w:pPr>
        <w:spacing w:after="0" w:line="276" w:lineRule="auto"/>
        <w:jc w:val="both"/>
        <w:rPr/>
      </w:pPr>
      <w:r>
        <w:rPr/>
        <w:t xml:space="preserve">Materijalni rashodi planirani su u iznosu od </w:t>
      </w:r>
      <w:r>
        <w:rPr/>
        <w:t xml:space="preserve">118</w:t>
      </w:r>
      <w:r>
        <w:rPr/>
        <w:t xml:space="preserve">.</w:t>
      </w:r>
      <w:r>
        <w:rPr/>
        <w:t xml:space="preserve">710,65</w:t>
      </w:r>
      <w:r>
        <w:rPr/>
        <w:t xml:space="preserve"> eura, a ostvareni u iznosu od </w:t>
      </w:r>
      <w:r>
        <w:rPr/>
        <w:t xml:space="preserve">118.502,90</w:t>
      </w:r>
      <w:r>
        <w:rPr/>
        <w:t xml:space="preserve"> eura s indeksom </w:t>
      </w:r>
      <w:r>
        <w:rPr/>
        <w:t xml:space="preserve">99,82</w:t>
      </w:r>
      <w:r>
        <w:rPr/>
        <w:t xml:space="preserve">. </w:t>
      </w:r>
    </w:p>
    <w:p w14:paraId="1742416D">
      <w:pPr>
        <w:spacing w:after="0" w:line="276" w:lineRule="auto"/>
        <w:jc w:val="both"/>
        <w:rPr/>
      </w:pPr>
    </w:p>
    <w:p w14:paraId="63D4B20F">
      <w:pPr>
        <w:spacing w:after="0"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Ostali rashodi</w:t>
      </w:r>
    </w:p>
    <w:p w14:paraId="71BFE3E1">
      <w:pPr>
        <w:spacing w:after="0" w:line="276" w:lineRule="auto"/>
        <w:jc w:val="both"/>
        <w:rPr>
          <w:b/>
          <w:bCs/>
          <w:i/>
          <w:iCs/>
        </w:rPr>
      </w:pPr>
    </w:p>
    <w:p w14:paraId="6996274C">
      <w:pPr>
        <w:spacing w:after="0" w:line="276" w:lineRule="auto"/>
        <w:jc w:val="both"/>
        <w:rPr/>
      </w:pPr>
      <w:r>
        <w:rPr/>
        <w:t xml:space="preserve">Ostali rashodi planirani u iznosu od 691,30 eura izvršeni su s indeksom 99,39, a odnose se na nabavu zaliha menstrualnih potrepština.</w:t>
      </w:r>
    </w:p>
    <w:p w14:paraId="406E727D">
      <w:pPr>
        <w:spacing w:after="0" w:line="276" w:lineRule="auto"/>
        <w:jc w:val="both"/>
        <w:rPr/>
      </w:pPr>
    </w:p>
    <w:p w14:paraId="682B041E">
      <w:pPr>
        <w:spacing w:after="0" w:line="276" w:lineRule="auto"/>
        <w:jc w:val="both"/>
        <w:rPr>
          <w:b/>
          <w:i/>
        </w:rPr>
      </w:pPr>
      <w:r>
        <w:rPr>
          <w:b/>
          <w:i/>
        </w:rPr>
        <w:t xml:space="preserve">Rashodi za nabavu nefinancijske imovine</w:t>
      </w:r>
    </w:p>
    <w:p w14:paraId="5549E384">
      <w:pPr>
        <w:spacing w:after="0" w:line="276" w:lineRule="auto"/>
        <w:jc w:val="both"/>
        <w:rPr/>
      </w:pPr>
    </w:p>
    <w:p w14:paraId="0EAA1905">
      <w:pPr>
        <w:spacing w:after="0" w:line="276" w:lineRule="auto"/>
        <w:jc w:val="both"/>
        <w:rPr/>
      </w:pPr>
      <w:r>
        <w:rPr/>
        <w:t xml:space="preserve">Rashodi za nabavu nefinancijske imovine izvršeni su u iznosu od </w:t>
      </w:r>
      <w:r>
        <w:rPr/>
        <w:t xml:space="preserve">8.657,15</w:t>
      </w:r>
      <w:r>
        <w:rPr/>
        <w:t xml:space="preserve"> eura  što je </w:t>
      </w:r>
      <w:r>
        <w:rPr/>
        <w:t xml:space="preserve">68,91</w:t>
      </w:r>
      <w:r>
        <w:rPr/>
        <w:t xml:space="preserve">% od plana. </w:t>
      </w:r>
    </w:p>
    <w:p w14:paraId="2E8E9508">
      <w:pPr>
        <w:spacing w:after="0" w:line="276" w:lineRule="auto"/>
        <w:jc w:val="both"/>
        <w:rPr/>
      </w:pPr>
      <w:r>
        <w:rPr/>
        <w:t xml:space="preserve">Obuhvaćaju rashode za nabavu </w:t>
      </w:r>
      <w:r>
        <w:rPr/>
        <w:t xml:space="preserve">računalne opreme, </w:t>
      </w:r>
      <w:r>
        <w:rPr/>
        <w:t xml:space="preserve">opreme za fotografiranje i snimanje</w:t>
      </w:r>
      <w:r>
        <w:rPr/>
        <w:t xml:space="preserve">, grafičke preše, uredskog namještaja</w:t>
      </w:r>
      <w:r>
        <w:rPr/>
        <w:t xml:space="preserve"> te knjiga.</w:t>
      </w:r>
    </w:p>
    <w:p w14:paraId="2EF820EF">
      <w:pPr>
        <w:spacing w:after="0" w:line="276" w:lineRule="auto"/>
        <w:jc w:val="both"/>
        <w:rPr/>
      </w:pPr>
    </w:p>
    <w:p w14:paraId="38558B78">
      <w:pPr>
        <w:spacing w:after="0" w:line="276" w:lineRule="auto"/>
        <w:jc w:val="both"/>
        <w:rPr/>
      </w:pPr>
    </w:p>
    <w:p w14:paraId="0014402D">
      <w:pPr>
        <w:spacing w:after="0" w:line="276" w:lineRule="auto"/>
        <w:jc w:val="both"/>
        <w:rPr>
          <w:b/>
        </w:rPr>
      </w:pPr>
      <w:r>
        <w:rPr>
          <w:b/>
        </w:rPr>
        <w:t xml:space="preserve">1.3 Višak prihoda</w:t>
      </w:r>
    </w:p>
    <w:p w14:paraId="23EEBF8A">
      <w:pPr>
        <w:spacing w:after="0" w:line="276" w:lineRule="auto"/>
        <w:jc w:val="both"/>
        <w:rPr>
          <w:b/>
        </w:rPr>
      </w:pPr>
    </w:p>
    <w:p w14:paraId="1936C5A9">
      <w:pPr>
        <w:spacing w:after="0" w:line="276" w:lineRule="auto"/>
        <w:jc w:val="both"/>
        <w:rPr/>
      </w:pPr>
      <w:r>
        <w:rPr/>
        <w:t xml:space="preserve">Preneseni višak prihoda iz 2022. godine iznosi 15.787,88 eura.  Tijekom 2023. godine od prenesenog viška utrošeno je na rashode </w:t>
      </w:r>
      <w:r>
        <w:rPr/>
        <w:t xml:space="preserve">12.511,18</w:t>
      </w:r>
      <w:r>
        <w:rPr/>
        <w:t xml:space="preserve"> eura odnosno </w:t>
      </w:r>
      <w:r>
        <w:rPr/>
        <w:t xml:space="preserve">79,25</w:t>
      </w:r>
      <w:r>
        <w:rPr/>
        <w:t xml:space="preserve">%.</w:t>
      </w:r>
    </w:p>
    <w:p w14:paraId="0B21298E">
      <w:pPr>
        <w:spacing w:after="0" w:line="276" w:lineRule="auto"/>
        <w:jc w:val="both"/>
        <w:rPr/>
      </w:pPr>
      <w:r>
        <w:rPr/>
        <w:t xml:space="preserve">Ostvareni višak prihoda u 2023. godini prenosi se u 2024. godinu i raspoređuje se u skladu s Odlukom o raspodjeli rezultata.</w:t>
      </w:r>
    </w:p>
    <w:p w14:paraId="57450A4A">
      <w:pPr>
        <w:spacing w:after="0" w:line="276" w:lineRule="auto"/>
        <w:jc w:val="both"/>
        <w:rPr/>
      </w:pPr>
    </w:p>
    <w:p w14:paraId="0EA89D97">
      <w:pPr>
        <w:spacing w:after="0" w:line="276" w:lineRule="auto"/>
        <w:jc w:val="both"/>
        <w:rPr/>
      </w:pPr>
    </w:p>
    <w:p w14:paraId="30A87295">
      <w:pPr>
        <w:spacing w:after="0" w:line="276" w:lineRule="auto"/>
        <w:jc w:val="both"/>
        <w:rPr/>
      </w:pPr>
    </w:p>
    <w:p w14:paraId="4DD9595A">
      <w:pPr>
        <w:spacing w:after="0" w:line="276" w:lineRule="auto"/>
        <w:jc w:val="both"/>
        <w:rPr/>
      </w:pPr>
    </w:p>
    <w:p w14:paraId="75B26220">
      <w:pPr>
        <w:spacing w:after="0" w:line="276" w:lineRule="auto"/>
        <w:jc w:val="both"/>
        <w:rPr>
          <w:b/>
        </w:rPr>
      </w:pPr>
      <w:r>
        <w:rPr>
          <w:b/>
        </w:rPr>
        <w:t xml:space="preserve">2. OBRAZLOŽENJE POSEBNOG DIJELA IZVJEŠTAJA</w:t>
      </w:r>
    </w:p>
    <w:p w14:paraId="576B4F46">
      <w:pPr>
        <w:spacing w:after="0" w:line="276" w:lineRule="auto"/>
        <w:jc w:val="both"/>
        <w:rPr/>
      </w:pPr>
    </w:p>
    <w:p w14:paraId="4ACD0EC4">
      <w:pPr>
        <w:spacing w:after="0"/>
        <w:jc w:val="both"/>
        <w:rPr/>
      </w:pPr>
      <w:r>
        <w:rPr>
          <w:b/>
        </w:rPr>
        <w:t xml:space="preserve">Program Djelatnost srednjih škola </w:t>
      </w:r>
      <w:r>
        <w:rPr/>
        <w:t xml:space="preserve">financira se od strane Zadarske županije (izvor 45 - </w:t>
      </w:r>
      <w:r>
        <w:rPr>
          <w:i/>
        </w:rPr>
        <w:t xml:space="preserve">F.P. i </w:t>
      </w:r>
      <w:r>
        <w:rPr>
          <w:i/>
        </w:rPr>
        <w:t xml:space="preserve">dod</w:t>
      </w:r>
      <w:r>
        <w:rPr>
          <w:i/>
        </w:rPr>
        <w:t xml:space="preserve">. udio u </w:t>
      </w:r>
      <w:r>
        <w:rPr>
          <w:i/>
        </w:rPr>
        <w:t xml:space="preserve">por</w:t>
      </w:r>
      <w:r>
        <w:rPr>
          <w:i/>
        </w:rPr>
        <w:t xml:space="preserve">. na dohodak) </w:t>
      </w:r>
      <w:r>
        <w:rPr/>
        <w:t xml:space="preserve">koja određuje limite za navedeni program</w:t>
      </w:r>
      <w:r>
        <w:rPr>
          <w:i/>
        </w:rPr>
        <w:t xml:space="preserve">. </w:t>
      </w:r>
      <w:r>
        <w:rPr/>
        <w:t xml:space="preserve">Programom se financiraju rashodi za materijal (uredski, nastavni, materijal za tekuće i investicijsko održavanje zgrade i školske opreme), energiju (el. energiju, plin, gorivo za grijanje) naknade troškova zaposlenih (prijevoz, službena putovanja, seminari, savjetovanja) te rashodi za usluge (usluge telefona, tekućeg i investicijskog održavanja zgrade i opreme, komunalne usluge, najmovi i zakupnine, zdravstveni pregledi zaposlenika, intelektualne usluge, računalne i ostale nespomenute usluge). Indeks izvršenja rashoda programa Djelatnost srednjih škola u odnosu na plan je </w:t>
      </w:r>
      <w:r>
        <w:rPr/>
        <w:t xml:space="preserve">100%</w:t>
      </w:r>
      <w:r>
        <w:rPr/>
        <w:t xml:space="preserve">.</w:t>
      </w:r>
    </w:p>
    <w:p w14:paraId="37BC42FB">
      <w:pPr>
        <w:spacing w:after="0"/>
        <w:jc w:val="both"/>
        <w:rPr/>
      </w:pPr>
    </w:p>
    <w:p w14:paraId="4C625F7D">
      <w:pPr>
        <w:spacing w:after="0"/>
        <w:jc w:val="both"/>
        <w:rPr/>
      </w:pPr>
      <w:r>
        <w:rPr>
          <w:i/>
        </w:rPr>
        <w:t xml:space="preserve">Ciljevi koji su ostvareni</w:t>
      </w:r>
      <w:r>
        <w:rPr/>
        <w:t xml:space="preserve"> </w:t>
      </w:r>
      <w:r>
        <w:rPr>
          <w:i/>
        </w:rPr>
        <w:t xml:space="preserve">provedbom programa:</w:t>
      </w:r>
    </w:p>
    <w:p w14:paraId="74F6231C">
      <w:pPr>
        <w:spacing w:after="0"/>
        <w:jc w:val="both"/>
        <w:rPr/>
      </w:pPr>
      <w:r>
        <w:rPr/>
        <w:t xml:space="preserve">1. Redovito podmirivanje svih troškova poslovanja radi kvalitetnijeg i uspješnijeg odvijanja nastavnog procesa.</w:t>
      </w:r>
    </w:p>
    <w:p w14:paraId="21ADEE2C">
      <w:pPr>
        <w:spacing w:after="0"/>
        <w:jc w:val="both"/>
        <w:rPr/>
      </w:pPr>
      <w:r>
        <w:rPr/>
        <w:t xml:space="preserve">2. Uspješno i kvalitetno odvijanje nastave uz zadovoljenje svih potrebitih zahtjeva učenika i djelatnika.</w:t>
      </w:r>
    </w:p>
    <w:p w14:paraId="1FD10082">
      <w:pPr>
        <w:spacing w:after="0"/>
        <w:jc w:val="both"/>
        <w:rPr/>
      </w:pPr>
    </w:p>
    <w:p w14:paraId="08B0B3EE">
      <w:pPr>
        <w:spacing w:after="0"/>
        <w:jc w:val="both"/>
        <w:rPr/>
      </w:pPr>
      <w:r>
        <w:rPr>
          <w:b/>
          <w:bCs/>
        </w:rPr>
        <w:t xml:space="preserve">Program Hitne intervencije u srednjim školama </w:t>
      </w:r>
      <w:r>
        <w:rPr/>
        <w:t xml:space="preserve">financiran je od strane Zadarske Županije</w:t>
      </w:r>
      <w:r>
        <w:rPr/>
        <w:t xml:space="preserve"> u iznosu od 8.285,06 eura.</w:t>
      </w:r>
      <w:r>
        <w:rPr/>
        <w:t xml:space="preserve"> Ovim </w:t>
      </w:r>
      <w:r>
        <w:rPr/>
        <w:t xml:space="preserve">sredstvima</w:t>
      </w:r>
      <w:r>
        <w:rPr/>
        <w:t xml:space="preserve"> izvršila</w:t>
      </w:r>
      <w:r>
        <w:rPr/>
        <w:t xml:space="preserve"> se nabava računala za školu, te nabava i montaža informatičke opreme u učionicama.</w:t>
      </w:r>
      <w:r>
        <w:rPr/>
        <w:t xml:space="preserve"> Indeks izvršenja plana je 100.</w:t>
      </w:r>
    </w:p>
    <w:p w14:paraId="2896D159">
      <w:pPr>
        <w:spacing w:after="0"/>
        <w:jc w:val="both"/>
        <w:rPr/>
      </w:pPr>
    </w:p>
    <w:p w14:paraId="3CEA021F">
      <w:pPr>
        <w:spacing w:after="0"/>
        <w:jc w:val="both"/>
        <w:rPr/>
      </w:pPr>
      <w:r>
        <w:rPr>
          <w:b/>
        </w:rPr>
        <w:t xml:space="preserve">Programom Administracija i upravljanje</w:t>
      </w:r>
      <w:r>
        <w:rPr/>
        <w:t xml:space="preserve"> planiraju se plaće i ostali troškovi zaposlenih (poput regresa, nagrada, pomoći) koji se financiraju iz državnog proračuna (izvor 51) od strane Ministarstva znanosti i obrazovanja. Indeks izvršenja programa u odnosu na plan iznosi </w:t>
      </w:r>
      <w:r>
        <w:rPr/>
        <w:t xml:space="preserve">107,60</w:t>
      </w:r>
      <w:r>
        <w:rPr/>
        <w:t xml:space="preserve">.</w:t>
      </w:r>
    </w:p>
    <w:p w14:paraId="78604157">
      <w:pPr>
        <w:spacing w:after="0"/>
        <w:jc w:val="both"/>
        <w:rPr/>
      </w:pPr>
    </w:p>
    <w:p w14:paraId="1FB79DE5">
      <w:pPr>
        <w:spacing w:after="0"/>
        <w:jc w:val="both"/>
        <w:rPr>
          <w:i/>
        </w:rPr>
      </w:pPr>
      <w:r>
        <w:rPr>
          <w:i/>
        </w:rPr>
        <w:t xml:space="preserve">Ciljevi koji su ostvareni provedbom programa:</w:t>
      </w:r>
    </w:p>
    <w:p w14:paraId="62311442">
      <w:pPr>
        <w:spacing w:after="0"/>
        <w:jc w:val="both"/>
        <w:rPr/>
      </w:pPr>
      <w:r>
        <w:rPr/>
        <w:t xml:space="preserve">1. Podmirivanje obveza prema zaposlenicima, isplata plaća i ostalih materijalnih prava.</w:t>
      </w:r>
    </w:p>
    <w:p w14:paraId="0FE31F6A">
      <w:pPr>
        <w:spacing w:after="0"/>
        <w:jc w:val="both"/>
        <w:rPr/>
      </w:pPr>
      <w:r>
        <w:rPr/>
        <w:t xml:space="preserve">2. Izvršavanje obveza i poštivanje prava zaposlenika prema temeljnom kolektivnom ugovoru.</w:t>
      </w:r>
    </w:p>
    <w:p w14:paraId="1738ED84">
      <w:pPr>
        <w:spacing w:after="0"/>
        <w:jc w:val="both"/>
        <w:rPr/>
      </w:pPr>
    </w:p>
    <w:p w14:paraId="7DFCA9C8">
      <w:pPr>
        <w:spacing w:after="0"/>
        <w:jc w:val="both"/>
        <w:rPr/>
      </w:pPr>
      <w:r>
        <w:rPr>
          <w:b/>
        </w:rPr>
        <w:t xml:space="preserve">Program javne potrebe u prosvjeti </w:t>
      </w:r>
      <w:r>
        <w:rPr/>
        <w:t xml:space="preserve">financira se od strane Zadarske županije za projektne/programske aktivnosti na području kulture, sporta i prosvjete.</w:t>
      </w:r>
    </w:p>
    <w:p w14:paraId="57DF4369">
      <w:pPr>
        <w:spacing w:after="0"/>
        <w:jc w:val="both"/>
        <w:rPr>
          <w:i/>
        </w:rPr>
      </w:pPr>
    </w:p>
    <w:p w14:paraId="63303027">
      <w:pPr>
        <w:spacing w:after="0"/>
        <w:jc w:val="both"/>
        <w:rPr>
          <w:i/>
        </w:rPr>
      </w:pPr>
      <w:r>
        <w:rPr>
          <w:i/>
        </w:rPr>
        <w:t xml:space="preserve">Ciljevi koji su ostvareni provedbom programa:</w:t>
      </w:r>
    </w:p>
    <w:p w14:paraId="4AB43B68">
      <w:pPr>
        <w:pStyle w:val="Odlomakpopisa"/>
        <w:numPr>
          <w:ilvl w:val="0"/>
          <w:numId w:val="3"/>
        </w:numPr>
        <w:spacing w:after="0"/>
        <w:jc w:val="both"/>
        <w:rPr/>
      </w:pPr>
      <w:r>
        <w:rPr/>
        <w:t xml:space="preserve">Dodatna edukacija učenika aktivnim sudjelovanjem u programima, te edukacija posjetitelja programa.</w:t>
      </w:r>
    </w:p>
    <w:p w14:paraId="19BA8F64">
      <w:pPr>
        <w:spacing w:after="0"/>
        <w:jc w:val="both"/>
        <w:rPr/>
      </w:pPr>
    </w:p>
    <w:p w14:paraId="162D1214">
      <w:pPr>
        <w:spacing w:after="0"/>
        <w:jc w:val="both"/>
        <w:rPr/>
      </w:pPr>
      <w:r>
        <w:rPr>
          <w:b/>
          <w:bCs/>
        </w:rPr>
        <w:t xml:space="preserve">Programom natjecanja i smotre u SŠ </w:t>
      </w:r>
      <w:r>
        <w:rPr/>
        <w:t xml:space="preserve">Zadarska Županija financirala je natjecanja iz kemije i </w:t>
      </w:r>
      <w:r>
        <w:rPr/>
        <w:t xml:space="preserve">iz </w:t>
      </w:r>
      <w:r>
        <w:rPr/>
        <w:t xml:space="preserve">multimedije</w:t>
      </w:r>
      <w:r>
        <w:rPr/>
        <w:t xml:space="preserve">. Isplaćene su naknade članovima povjerenstva u iznosu od 944,36 eura.</w:t>
      </w:r>
      <w:r>
        <w:rPr/>
        <w:t xml:space="preserve"> Indeks izvršenja plana je 100.</w:t>
      </w:r>
    </w:p>
    <w:p w14:paraId="4C2D1D0B">
      <w:pPr>
        <w:spacing w:after="0"/>
        <w:jc w:val="both"/>
        <w:rPr/>
      </w:pPr>
    </w:p>
    <w:p w14:paraId="0C423113">
      <w:pPr>
        <w:spacing/>
        <w:jc w:val="both"/>
        <w:rPr>
          <w:b/>
        </w:rPr>
      </w:pPr>
      <w:r>
        <w:rPr>
          <w:b/>
        </w:rPr>
        <w:t xml:space="preserve">Program školska shema - </w:t>
      </w:r>
      <w:r>
        <w:rPr/>
        <w:t xml:space="preserve">škola sudjeluje u programu Školske sheme odnosno dodjeli besplatnih obroka voća. Prihodi od Školske sheme </w:t>
      </w:r>
      <w:r>
        <w:rPr/>
        <w:t xml:space="preserve"> u iznosu od </w:t>
      </w:r>
      <w:r>
        <w:rPr/>
        <w:t xml:space="preserve">1.493,87 eura namjenski su se koristili za kupnju svježeg voća, a kupljeno voće se zatim raspodijelilo učenicima škole.</w:t>
      </w:r>
      <w:r>
        <w:rPr>
          <w:i/>
        </w:rPr>
        <w:t xml:space="preserve"> </w:t>
      </w:r>
    </w:p>
    <w:p w14:paraId="6B1AF360">
      <w:pPr>
        <w:spacing w:after="0"/>
        <w:jc w:val="both"/>
        <w:rPr>
          <w:i/>
          <w:iCs/>
        </w:rPr>
      </w:pPr>
      <w:r>
        <w:rPr>
          <w:i/>
          <w:iCs/>
        </w:rPr>
        <w:t xml:space="preserve">Ciljevi koji su ostvareni provedbom programa:</w:t>
      </w:r>
    </w:p>
    <w:p w14:paraId="5ECEF8D1">
      <w:pPr>
        <w:spacing w:after="0"/>
        <w:jc w:val="both"/>
        <w:rPr/>
      </w:pPr>
      <w:r>
        <w:rPr/>
        <w:t xml:space="preserve">1. Povećanje unosa svježeg voća i smanjenje unosa hrane s visokim sadržajem masti, šećera i soli u svakodnevnoj prehrani učenika.</w:t>
      </w:r>
    </w:p>
    <w:p w14:paraId="6A438CDC">
      <w:pPr>
        <w:spacing w:after="0"/>
        <w:jc w:val="both"/>
        <w:rPr/>
      </w:pPr>
      <w:r>
        <w:rPr/>
        <w:t xml:space="preserve">2. Podizanje razine znanja o važnosti zdrave prehrane.</w:t>
      </w:r>
    </w:p>
    <w:p w14:paraId="4DE26202">
      <w:pPr>
        <w:spacing w:after="0"/>
        <w:jc w:val="both"/>
        <w:rPr/>
      </w:pPr>
    </w:p>
    <w:p w14:paraId="00D6D8B2">
      <w:pPr>
        <w:spacing w:after="0"/>
        <w:jc w:val="both"/>
        <w:rPr/>
      </w:pPr>
      <w:r>
        <w:rPr>
          <w:b/>
        </w:rPr>
        <w:t xml:space="preserve">Program Inkluzija – korak bliže društvu bez prepreka</w:t>
      </w:r>
      <w:r>
        <w:rPr/>
        <w:t xml:space="preserve"> </w:t>
      </w:r>
      <w:r>
        <w:rPr/>
        <w:t xml:space="preserve">- </w:t>
      </w:r>
      <w:r>
        <w:rPr/>
        <w:t xml:space="preserve">iz sredstava europskog socijalnog fonda </w:t>
      </w:r>
      <w:r>
        <w:rPr/>
        <w:t xml:space="preserve">te</w:t>
      </w:r>
      <w:r>
        <w:rPr/>
        <w:t xml:space="preserve"> dijelom sredstvima</w:t>
      </w:r>
      <w:r>
        <w:rPr/>
        <w:t xml:space="preserve"> iz državnog proračuna i proračuna </w:t>
      </w:r>
      <w:r>
        <w:rPr/>
        <w:t xml:space="preserve">županije financiraju se plaće za pomoćnike u nastavi. </w:t>
      </w:r>
    </w:p>
    <w:p w14:paraId="4D43E2B4">
      <w:pPr>
        <w:spacing w:after="0"/>
        <w:jc w:val="both"/>
        <w:rPr/>
      </w:pPr>
    </w:p>
    <w:p w14:paraId="405CFC84">
      <w:pPr>
        <w:spacing w:after="0"/>
        <w:jc w:val="both"/>
        <w:rPr>
          <w:i/>
        </w:rPr>
      </w:pPr>
      <w:r>
        <w:rPr>
          <w:i/>
        </w:rPr>
        <w:t xml:space="preserve">Ciljevi koji su ostvareni provedbom programa:</w:t>
      </w:r>
    </w:p>
    <w:p w14:paraId="4A503330">
      <w:pPr>
        <w:spacing/>
        <w:jc w:val="both"/>
        <w:rPr/>
      </w:pPr>
      <w:r>
        <w:rPr/>
        <w:t xml:space="preserve">1. Veća socijalna uključenost i integracija učenika s teškoćama u razvoju u redoviti obrazovni sustav.</w:t>
      </w:r>
    </w:p>
    <w:p w14:paraId="01C88D1C">
      <w:pPr>
        <w:spacing/>
        <w:jc w:val="both"/>
        <w:rPr/>
      </w:pPr>
      <w:r>
        <w:rPr/>
        <w:t xml:space="preserve">2. Neposrednim radom pomoćnika s učenicima s teškoćama u razvoju omogućilo se postizanje boljih obrazovnih rezultata i uspješnija socijalizacija učenika.</w:t>
      </w:r>
    </w:p>
    <w:p w14:paraId="05DA2864">
      <w:pPr>
        <w:spacing/>
        <w:jc w:val="both"/>
        <w:rPr/>
      </w:pPr>
      <w:r>
        <w:rPr/>
        <w:t xml:space="preserve">3. Stjecanjem vještina i stručnih kompetencija pomoćnika, osigurava se njihovo bolje pozicioniranje na tržištu rada.</w:t>
      </w:r>
    </w:p>
    <w:p w14:paraId="1D4C472B">
      <w:pPr>
        <w:spacing w:after="0"/>
        <w:jc w:val="both"/>
        <w:rPr/>
      </w:pPr>
    </w:p>
    <w:p w14:paraId="125307FE">
      <w:pPr>
        <w:spacing w:after="0"/>
        <w:jc w:val="both"/>
        <w:rPr/>
      </w:pPr>
      <w:r>
        <w:rPr>
          <w:b/>
        </w:rPr>
        <w:t xml:space="preserve">Projekt Erasmus </w:t>
      </w:r>
      <w:r>
        <w:rPr>
          <w:b/>
        </w:rPr>
        <w:t xml:space="preserve">CoLab</w:t>
      </w:r>
      <w:r>
        <w:rPr/>
        <w:t xml:space="preserve"> proveden je radi stručnog usavršavanja učenika škole. Završna isplata izvršena je u siječnju 2023. godine.</w:t>
      </w:r>
    </w:p>
    <w:p w14:paraId="16665B87">
      <w:pPr>
        <w:spacing w:after="0"/>
        <w:jc w:val="both"/>
        <w:rPr/>
      </w:pPr>
    </w:p>
    <w:p w14:paraId="6FD2075F">
      <w:pPr>
        <w:spacing w:after="0"/>
        <w:jc w:val="both"/>
        <w:rPr>
          <w:i/>
        </w:rPr>
      </w:pPr>
      <w:r>
        <w:rPr>
          <w:i/>
        </w:rPr>
        <w:t xml:space="preserve">Ciljevi koji su ostvareni provedbom projekta:</w:t>
      </w:r>
    </w:p>
    <w:p w14:paraId="6771A7FB">
      <w:pPr>
        <w:spacing w:after="0"/>
        <w:jc w:val="both"/>
        <w:rPr/>
      </w:pPr>
      <w:r>
        <w:rPr/>
        <w:t xml:space="preserve">1. Usavršavanje znanja i vještina učenika radi stjecanja novih kompetencija i povećanja </w:t>
      </w:r>
      <w:r>
        <w:rPr/>
        <w:t xml:space="preserve">zapošljivosti</w:t>
      </w:r>
      <w:r>
        <w:rPr/>
        <w:t xml:space="preserve"> na tržištu rada.</w:t>
      </w:r>
    </w:p>
    <w:p w14:paraId="0E462FF6">
      <w:pPr>
        <w:spacing w:after="0"/>
        <w:jc w:val="both"/>
        <w:rPr/>
      </w:pPr>
      <w:r>
        <w:rPr/>
        <w:t xml:space="preserve">2. Učinak projekta uočljiv je na razini sudionika i ustanove. Povećana je </w:t>
      </w:r>
      <w:r>
        <w:rPr/>
        <w:t xml:space="preserve">zapošljivost</w:t>
      </w:r>
      <w:r>
        <w:rPr/>
        <w:t xml:space="preserve"> učenika i njihova izražena motivacija za nadograđivanje znanja koje su stekli na mobilnosti. Povećan je interes lokalne javnosti za školu. Postoji i učinak projekta na stvaranje novih kurikuluma.</w:t>
      </w:r>
    </w:p>
    <w:p w14:paraId="35AAB9CC">
      <w:pPr>
        <w:spacing w:after="0"/>
        <w:jc w:val="both"/>
        <w:rPr/>
      </w:pPr>
    </w:p>
    <w:p w14:paraId="71A6A13F">
      <w:pPr>
        <w:spacing w:after="0"/>
        <w:jc w:val="both"/>
        <w:rPr/>
      </w:pPr>
      <w:r>
        <w:rPr/>
        <w:t xml:space="preserve">U </w:t>
      </w:r>
      <w:r>
        <w:rPr>
          <w:b/>
        </w:rPr>
        <w:t xml:space="preserve">projektu PLATO'S EU</w:t>
      </w:r>
      <w:r>
        <w:rPr/>
        <w:t xml:space="preserve"> Prirodoslovno grafička škola kao partner zadužena</w:t>
      </w:r>
      <w:r>
        <w:rPr/>
        <w:t xml:space="preserve"> je</w:t>
      </w:r>
      <w:r>
        <w:rPr/>
        <w:t xml:space="preserve"> za izradu vizualnog identiteta projekta, odnosno izradu otvorene obrazovne digitalne platforme koja </w:t>
      </w:r>
      <w:r>
        <w:rPr/>
        <w:t xml:space="preserve">sadržava</w:t>
      </w:r>
      <w:r>
        <w:rPr/>
        <w:t xml:space="preserve"> otvorene obrazovne resurse za poticanje raznih filozofskih praksi</w:t>
      </w:r>
      <w:r>
        <w:rPr/>
        <w:t xml:space="preserve"> te</w:t>
      </w:r>
      <w:r>
        <w:rPr/>
        <w:t xml:space="preserve"> izradu dizajna i pripreme za tisak priručnika za nastavnike</w:t>
      </w:r>
      <w:r>
        <w:rPr/>
        <w:t xml:space="preserve"> i</w:t>
      </w:r>
      <w:r>
        <w:rPr/>
        <w:t xml:space="preserve"> udžbenika „</w:t>
      </w:r>
      <w:r>
        <w:rPr/>
        <w:t xml:space="preserve">Philosophical</w:t>
      </w:r>
      <w:r>
        <w:rPr/>
        <w:t xml:space="preserve"> </w:t>
      </w:r>
      <w:r>
        <w:rPr/>
        <w:t xml:space="preserve">Cookbook</w:t>
      </w:r>
      <w:r>
        <w:rPr/>
        <w:t xml:space="preserve">“.  Indeks izvršenja rashoda projekta u odnosu na plan iznosi </w:t>
      </w:r>
      <w:r>
        <w:rPr/>
        <w:t xml:space="preserve">94,72</w:t>
      </w:r>
      <w:r>
        <w:rPr/>
        <w:t xml:space="preserve">.</w:t>
      </w:r>
    </w:p>
    <w:p w14:paraId="21E8AA4A">
      <w:pPr>
        <w:spacing w:after="0"/>
        <w:jc w:val="both"/>
        <w:rPr/>
      </w:pPr>
    </w:p>
    <w:p w14:paraId="23E2FA62">
      <w:pPr>
        <w:spacing w:after="0"/>
        <w:jc w:val="both"/>
        <w:rPr>
          <w:i/>
        </w:rPr>
      </w:pPr>
      <w:r>
        <w:rPr>
          <w:i/>
        </w:rPr>
        <w:t xml:space="preserve">Ciljevi koji su ostvareni provedbom projekta:</w:t>
      </w:r>
    </w:p>
    <w:p w14:paraId="55AC38E6">
      <w:pPr>
        <w:spacing w:after="0"/>
        <w:jc w:val="both"/>
        <w:rPr/>
      </w:pPr>
      <w:r>
        <w:rPr/>
        <w:t xml:space="preserve">1. Jačanje profesionalnih kapaciteta nastavnika, digitalnih vještina i kompetencija.</w:t>
      </w:r>
    </w:p>
    <w:p w14:paraId="4B0FAB57">
      <w:pPr>
        <w:spacing w:after="0"/>
        <w:jc w:val="both"/>
        <w:rPr/>
      </w:pPr>
      <w:r>
        <w:rPr/>
        <w:t xml:space="preserve">2. Uvođenje novih metoda učenja i poučavanja, jačanje kritičkog mišljenja i </w:t>
      </w:r>
      <w:r>
        <w:rPr/>
        <w:t xml:space="preserve">deliberativnog</w:t>
      </w:r>
      <w:r>
        <w:rPr/>
        <w:t xml:space="preserve"> </w:t>
      </w:r>
    </w:p>
    <w:p w14:paraId="332D1600">
      <w:pPr>
        <w:spacing w:after="0"/>
        <w:jc w:val="both"/>
        <w:rPr/>
      </w:pPr>
      <w:r>
        <w:rPr/>
        <w:t xml:space="preserve">dijaloga u obrazovanju te razvijanje digitalnih vještina i promicanje medijske pismenosti.</w:t>
      </w:r>
    </w:p>
    <w:p w14:paraId="63B1DF54">
      <w:pPr>
        <w:spacing w:after="0"/>
        <w:jc w:val="both"/>
        <w:rPr/>
      </w:pPr>
    </w:p>
    <w:p w14:paraId="39D197D8">
      <w:pPr>
        <w:spacing w:after="0"/>
        <w:jc w:val="both"/>
        <w:rPr/>
      </w:pPr>
    </w:p>
    <w:p w14:paraId="38BB1CC0">
      <w:pPr>
        <w:spacing w:after="0"/>
        <w:jc w:val="both"/>
        <w:rPr/>
      </w:pPr>
    </w:p>
    <w:p w14:paraId="7D4ABF13">
      <w:pPr>
        <w:spacing w:after="0"/>
        <w:jc w:val="both"/>
        <w:rPr/>
      </w:pPr>
    </w:p>
    <w:p w14:paraId="37912720">
      <w:pPr>
        <w:spacing w:after="0"/>
        <w:jc w:val="both"/>
        <w:rPr/>
      </w:pPr>
    </w:p>
    <w:p w14:paraId="5696CDC4">
      <w:pPr>
        <w:spacing w:after="0"/>
        <w:jc w:val="both"/>
        <w:rPr/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Ravnateljica:</w:t>
      </w:r>
    </w:p>
    <w:p w14:paraId="7260BB8E">
      <w:pPr>
        <w:spacing w:after="0"/>
        <w:jc w:val="both"/>
        <w:rPr/>
      </w:pPr>
    </w:p>
    <w:p w14:paraId="0408313F">
      <w:pPr>
        <w:spacing w:after="0"/>
        <w:jc w:val="both"/>
        <w:rPr/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Anamarija Ivković dipl. ing.</w:t>
      </w:r>
    </w:p>
    <w:p w14:paraId="4955FEB3">
      <w:pPr>
        <w:spacing w:after="0"/>
        <w:jc w:val="both"/>
        <w:rPr/>
      </w:pPr>
    </w:p>
    <w:p w14:paraId="0318F771">
      <w:pPr>
        <w:spacing w:after="0"/>
        <w:jc w:val="both"/>
        <w:rPr/>
      </w:pPr>
    </w:p>
    <w:p w14:paraId="6FD9586E">
      <w:pPr>
        <w:spacing w:after="0"/>
        <w:jc w:val="both"/>
        <w:rPr/>
      </w:pPr>
    </w:p>
    <w:p w14:paraId="00225E84">
      <w:pPr>
        <w:tabs>
          <w:tab w:val="left" w:pos="1020"/>
        </w:tabs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87F31"/>
    <w:lvl w:ilvl="0">
      <w:start w:val="1"/>
      <w:numFmt w:val="decimal"/>
      <w:pStyle w:val="Naslov1"/>
      <w:suff w:val="tab"/>
      <w:lvlText w:val="%1"/>
      <w:pPr>
        <w:spacing/>
        <w:ind w:left="432" w:hanging="432"/>
      </w:pPr>
      <w:rPr>
        <w:rFonts w:hint="default"/>
      </w:rPr>
    </w:lvl>
    <w:lvl w:ilvl="1">
      <w:start w:val="1"/>
      <w:numFmt w:val="decimal"/>
      <w:pStyle w:val="Naslov2"/>
      <w:suff w:val="tab"/>
      <w:lvlText w:val="%1.%2"/>
      <w:pPr>
        <w:spacing/>
        <w:ind w:left="576" w:hanging="576"/>
      </w:pPr>
      <w:rPr>
        <w:rFonts w:hint="default"/>
      </w:rPr>
    </w:lvl>
    <w:lvl w:ilvl="2">
      <w:start w:val="1"/>
      <w:numFmt w:val="decimal"/>
      <w:pStyle w:val="Naslov3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pStyle w:val="Naslov4"/>
      <w:suff w:val="tab"/>
      <w:lvlText w:val="%1.%2.%3.%4"/>
      <w:pPr>
        <w:spacing/>
        <w:ind w:left="864" w:hanging="864"/>
      </w:pPr>
      <w:rPr>
        <w:rFonts w:hint="default"/>
      </w:rPr>
    </w:lvl>
    <w:lvl w:ilvl="4">
      <w:start w:val="1"/>
      <w:numFmt w:val="decimal"/>
      <w:pStyle w:val="Naslov5"/>
      <w:suff w:val="tab"/>
      <w:lvlText w:val="%1.%2.%3.%4.%5"/>
      <w:pPr>
        <w:spacing/>
        <w:ind w:left="1008" w:hanging="1008"/>
      </w:pPr>
      <w:rPr>
        <w:rFonts w:hint="default"/>
      </w:rPr>
    </w:lvl>
    <w:lvl w:ilvl="5">
      <w:start w:val="1"/>
      <w:numFmt w:val="decimal"/>
      <w:pStyle w:val="Naslov6"/>
      <w:suff w:val="tab"/>
      <w:lvlText w:val="%1.%2.%3.%4.%5.%6"/>
      <w:pPr>
        <w:spacing/>
        <w:ind w:left="1152" w:hanging="1152"/>
      </w:pPr>
      <w:rPr>
        <w:rFonts w:hint="default"/>
      </w:rPr>
    </w:lvl>
    <w:lvl w:ilvl="6">
      <w:start w:val="1"/>
      <w:numFmt w:val="decimal"/>
      <w:pStyle w:val="Naslov7"/>
      <w:suff w:val="tab"/>
      <w:lvlText w:val="%1.%2.%3.%4.%5.%6.%7"/>
      <w:pPr>
        <w:spacing/>
        <w:ind w:left="1296" w:hanging="1296"/>
      </w:pPr>
      <w:rPr>
        <w:rFonts w:hint="default"/>
      </w:rPr>
    </w:lvl>
    <w:lvl w:ilvl="7">
      <w:start w:val="1"/>
      <w:numFmt w:val="decimal"/>
      <w:pStyle w:val="Naslov8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pStyle w:val="Naslov9"/>
      <w:suff w:val="tab"/>
      <w:lvlText w:val="%1.%2.%3.%4.%5.%6.%7.%8.%9"/>
      <w:pPr>
        <w:spacing/>
        <w:ind w:left="1584" w:hanging="1584"/>
      </w:pPr>
      <w:rPr>
        <w:rFonts w:hint="default"/>
      </w:rPr>
    </w:lvl>
  </w:abstractNum>
  <w:abstractNum w:abstractNumId="1">
    <w:nsid w:val="2FE3656D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31AA0F5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516725E6"/>
    <w:lvl w:ilvl="0">
      <w:start w:val="1"/>
      <w:numFmt w:val="decimal"/>
      <w:suff w:val="tab"/>
      <w:lvlText w:val="%1."/>
      <w:pPr>
        <w:spacing/>
        <w:ind w:left="480" w:hanging="480"/>
      </w:pPr>
      <w:rPr>
        <w:rFonts w:hint="default"/>
      </w:rPr>
    </w:lvl>
    <w:lvl w:ilvl="1">
      <w:start w:val="1"/>
      <w:numFmt w:val="decimal"/>
      <w:suff w:val="tab"/>
      <w:lvlText w:val="%1.%2."/>
      <w:pPr>
        <w:spacing/>
        <w:ind w:left="480" w:hanging="480"/>
      </w:pPr>
      <w:rPr>
        <w:rFonts w:hint="default"/>
      </w:rPr>
    </w:lvl>
    <w:lvl w:ilvl="2">
      <w:start w:val="1"/>
      <w:numFmt w:val="decimal"/>
      <w:suff w:val="tab"/>
      <w:lvlText w:val="%1.%2.%3.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720" w:hanging="720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1080" w:hanging="1080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1080" w:hanging="1080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1440" w:hanging="144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1800" w:hanging="1800"/>
      </w:pPr>
      <w:rPr>
        <w:rFonts w:hint="default"/>
      </w:rPr>
    </w:lvl>
  </w:abstractNum>
  <w:abstractNum w:abstractNumId="4">
    <w:nsid w:val="6FF25B5B"/>
    <w:lvl w:ilvl="0">
      <w:start w:val="1"/>
      <w:numFmt w:val="lowerLetter"/>
      <w:suff w:val="tab"/>
      <w:lvlText w:val="%1)"/>
      <w:pPr>
        <w:spacing/>
        <w:ind w:left="360" w:hanging="360"/>
      </w:pPr>
      <w:rPr/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5">
    <w:nsid w:val="75476389"/>
    <w:lvl w:ilvl="0">
      <w:start w:val="23"/>
      <w:numFmt w:val="bullet"/>
      <w:suff w:val="tab"/>
      <w:lvlText w:val="-"/>
      <w:pPr>
        <w:spacing/>
        <w:ind w:left="36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Naslov1">
    <w:name w:val="Heading 1"/>
    <w:basedOn w:val="Normal"/>
    <w:next w:val="Normal"/>
    <w:link w:val="Naslov1Char"/>
    <w:uiPriority w:val="9"/>
    <w:qFormat/>
    <w:numPr>
      <w:numId w:val="1"/>
    </w:numPr>
    <w:pPr>
      <w:keepNext/>
      <w:keepLines/>
      <w:numPr>
        <w:numId w:val="1"/>
      </w:numPr>
      <w:spacing w:before="240" w:after="0"/>
      <w:outlineLvl w:val="0"/>
    </w:pPr>
    <w:rPr>
      <w:rFonts w:asciiTheme="majorHAnsi" w:hAnsiTheme="majorHAnsi" w:eastAsiaTheme="majorEastAsia" w:cstheme="majorBidi"/>
      <w:color w:val="2E74B5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numPr>
      <w:ilvl w:val="1"/>
      <w:numId w:val="1"/>
    </w:numPr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hAnsiTheme="majorHAnsi" w:eastAsiaTheme="majorEastAsia" w:cstheme="majorBidi"/>
      <w:color w:val="2E74B5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numPr>
      <w:ilvl w:val="2"/>
      <w:numId w:val="1"/>
    </w:numPr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hAnsiTheme="majorHAnsi" w:eastAsiaTheme="majorEastAsia" w:cstheme="majorBidi"/>
      <w:color w:val="1F4D78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numPr>
      <w:ilvl w:val="3"/>
      <w:numId w:val="1"/>
    </w:numPr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numPr>
      <w:ilvl w:val="4"/>
      <w:numId w:val="1"/>
    </w:numPr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color w:val="2E74B5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numPr>
      <w:ilvl w:val="5"/>
      <w:numId w:val="1"/>
    </w:numPr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1F4D78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numPr>
      <w:ilvl w:val="6"/>
      <w:numId w:val="1"/>
    </w:numPr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numPr>
      <w:ilvl w:val="7"/>
      <w:numId w:val="1"/>
    </w:numPr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numPr>
      <w:ilvl w:val="8"/>
      <w:numId w:val="1"/>
    </w:numPr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2E74B5"/>
      <w:sz w:val="32"/>
      <w:szCs w:val="32"/>
    </w:rPr>
  </w:style>
  <w:style w:type="character" w:styleId="Naslov2Char" w:customStyle="1">
    <w:name w:val="Naslov 2 Char"/>
    <w:basedOn w:val="Zadanifontodlomka"/>
    <w:link w:val="Heading2"/>
    <w:uiPriority w:val="9"/>
    <w:rPr>
      <w:rFonts w:asciiTheme="majorHAnsi" w:hAnsiTheme="majorHAnsi" w:eastAsiaTheme="majorEastAsia" w:cstheme="majorBidi"/>
      <w:color w:val="2E74B5"/>
      <w:sz w:val="26"/>
      <w:szCs w:val="26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asciiTheme="majorHAnsi" w:hAnsiTheme="majorHAnsi" w:eastAsiaTheme="majorEastAsia" w:cstheme="majorBidi"/>
      <w:color w:val="1F4D78"/>
      <w:szCs w:val="24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asciiTheme="majorHAnsi" w:hAnsiTheme="majorHAnsi" w:eastAsiaTheme="majorEastAsia" w:cstheme="majorBidi"/>
      <w:i/>
      <w:iCs/>
      <w:color w:val="2E74B5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asciiTheme="majorHAnsi" w:hAnsiTheme="majorHAnsi" w:eastAsiaTheme="majorEastAsia" w:cstheme="majorBidi"/>
      <w:color w:val="2E74B5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asciiTheme="majorHAnsi" w:hAnsiTheme="majorHAnsi" w:eastAsiaTheme="majorEastAsia" w:cstheme="majorBidi"/>
      <w:color w:val="1F4D78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asciiTheme="majorHAnsi" w:hAnsiTheme="majorHAnsi" w:eastAsiaTheme="majorEastAsia" w:cstheme="majorBidi"/>
      <w:i/>
      <w:iCs/>
      <w:color w:val="1F4D78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asciiTheme="majorHAnsi" w:hAnsiTheme="majorHAnsi" w:eastAsiaTheme="majorEastAsia" w:cstheme="majorBidi"/>
      <w:color w:val="272727"/>
      <w:sz w:val="21"/>
      <w:szCs w:val="21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5E1F0-462E-41ED-B536-FC8431249A9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5</Pages>
  <Words>1352</Words>
  <Characters>7711</Characters>
  <Application>Microsoft Office Word</Application>
  <DocSecurity>0</DocSecurity>
  <Lines>64</Lines>
  <Paragraphs>18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Tesa Škifić Zuanović</cp:lastModifiedBy>
  <cp:lastPrinted>2024-03-20T12:20:00Z</cp:lastPrinted>
  <cp:revision>3</cp:revision>
  <dcterms:created xsi:type="dcterms:W3CDTF">2024-03-20T12:33:00Z</dcterms:created>
  <dcterms:modified xsi:type="dcterms:W3CDTF">2024-03-20T12:42:00Z</dcterms:modified>
</cp:coreProperties>
</file>